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315B" w:rsidRDefault="0099301F">
      <w:pPr>
        <w:rPr>
          <w:rFonts w:ascii="Arial" w:eastAsia="Arial" w:hAnsi="Arial" w:cs="Arial"/>
          <w:sz w:val="24"/>
          <w:szCs w:val="24"/>
        </w:rPr>
      </w:pPr>
      <w:bookmarkStart w:id="0" w:name="_GoBack"/>
      <w:bookmarkEnd w:id="0"/>
      <w:r>
        <w:rPr>
          <w:rFonts w:ascii="Arial" w:eastAsia="Arial" w:hAnsi="Arial" w:cs="Arial"/>
          <w:sz w:val="24"/>
          <w:szCs w:val="24"/>
        </w:rPr>
        <w:t>Universidad de Buenos Aires</w:t>
      </w:r>
    </w:p>
    <w:p w14:paraId="00000002" w14:textId="77777777" w:rsidR="0004315B" w:rsidRDefault="0099301F">
      <w:pPr>
        <w:rPr>
          <w:rFonts w:ascii="Arial" w:eastAsia="Arial" w:hAnsi="Arial" w:cs="Arial"/>
          <w:sz w:val="24"/>
          <w:szCs w:val="24"/>
        </w:rPr>
      </w:pPr>
      <w:r>
        <w:rPr>
          <w:rFonts w:ascii="Arial" w:eastAsia="Arial" w:hAnsi="Arial" w:cs="Arial"/>
          <w:sz w:val="24"/>
          <w:szCs w:val="24"/>
        </w:rPr>
        <w:t>Facultad de Ciencias Sociales</w:t>
      </w:r>
    </w:p>
    <w:p w14:paraId="00000003" w14:textId="77777777" w:rsidR="0004315B" w:rsidRDefault="0099301F">
      <w:pPr>
        <w:rPr>
          <w:rFonts w:ascii="Arial" w:eastAsia="Arial" w:hAnsi="Arial" w:cs="Arial"/>
          <w:sz w:val="24"/>
          <w:szCs w:val="24"/>
        </w:rPr>
      </w:pPr>
      <w:r>
        <w:rPr>
          <w:rFonts w:ascii="Arial" w:eastAsia="Arial" w:hAnsi="Arial" w:cs="Arial"/>
          <w:sz w:val="24"/>
          <w:szCs w:val="24"/>
        </w:rPr>
        <w:t>Maestría en Políticas Sociales</w:t>
      </w:r>
    </w:p>
    <w:p w14:paraId="00000004" w14:textId="77777777" w:rsidR="0004315B" w:rsidRDefault="0004315B">
      <w:pPr>
        <w:rPr>
          <w:rFonts w:ascii="Arial" w:eastAsia="Arial" w:hAnsi="Arial" w:cs="Arial"/>
          <w:sz w:val="24"/>
          <w:szCs w:val="24"/>
        </w:rPr>
      </w:pPr>
    </w:p>
    <w:p w14:paraId="00000005" w14:textId="77777777" w:rsidR="0004315B" w:rsidRDefault="0099301F">
      <w:pPr>
        <w:rPr>
          <w:rFonts w:ascii="Arial" w:eastAsia="Arial" w:hAnsi="Arial" w:cs="Arial"/>
          <w:sz w:val="24"/>
          <w:szCs w:val="24"/>
        </w:rPr>
      </w:pPr>
      <w:r>
        <w:rPr>
          <w:rFonts w:ascii="Arial" w:eastAsia="Arial" w:hAnsi="Arial" w:cs="Arial"/>
          <w:sz w:val="24"/>
          <w:szCs w:val="24"/>
        </w:rPr>
        <w:t>Asignatura:</w:t>
      </w:r>
    </w:p>
    <w:p w14:paraId="00000006" w14:textId="77777777" w:rsidR="0004315B" w:rsidRDefault="0099301F">
      <w:pPr>
        <w:jc w:val="center"/>
        <w:rPr>
          <w:rFonts w:ascii="Arial" w:eastAsia="Arial" w:hAnsi="Arial" w:cs="Arial"/>
          <w:b/>
          <w:sz w:val="32"/>
          <w:szCs w:val="32"/>
        </w:rPr>
      </w:pPr>
      <w:r>
        <w:rPr>
          <w:rFonts w:ascii="Arial" w:eastAsia="Arial" w:hAnsi="Arial" w:cs="Arial"/>
          <w:b/>
          <w:sz w:val="32"/>
          <w:szCs w:val="32"/>
        </w:rPr>
        <w:t>Agenda de las Políticas Sociales</w:t>
      </w:r>
    </w:p>
    <w:p w14:paraId="00000007" w14:textId="77777777" w:rsidR="0004315B" w:rsidRDefault="0004315B">
      <w:pPr>
        <w:jc w:val="both"/>
        <w:rPr>
          <w:rFonts w:ascii="Arial" w:eastAsia="Arial" w:hAnsi="Arial" w:cs="Arial"/>
          <w:sz w:val="24"/>
          <w:szCs w:val="24"/>
        </w:rPr>
      </w:pPr>
    </w:p>
    <w:p w14:paraId="00000008"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Docentes: Sandra </w:t>
      </w:r>
      <w:proofErr w:type="spellStart"/>
      <w:r>
        <w:rPr>
          <w:rFonts w:ascii="Arial" w:eastAsia="Arial" w:hAnsi="Arial" w:cs="Arial"/>
          <w:sz w:val="24"/>
          <w:szCs w:val="24"/>
        </w:rPr>
        <w:t>Guimenez</w:t>
      </w:r>
      <w:proofErr w:type="spellEnd"/>
      <w:r>
        <w:rPr>
          <w:rFonts w:ascii="Arial" w:eastAsia="Arial" w:hAnsi="Arial" w:cs="Arial"/>
          <w:sz w:val="24"/>
          <w:szCs w:val="24"/>
        </w:rPr>
        <w:t xml:space="preserve"> y Ana Arias</w:t>
      </w:r>
    </w:p>
    <w:p w14:paraId="00000009" w14:textId="77777777" w:rsidR="0004315B" w:rsidRDefault="0099301F">
      <w:pPr>
        <w:jc w:val="both"/>
        <w:rPr>
          <w:rFonts w:ascii="Arial" w:eastAsia="Arial" w:hAnsi="Arial" w:cs="Arial"/>
          <w:sz w:val="24"/>
          <w:szCs w:val="24"/>
        </w:rPr>
      </w:pPr>
      <w:r>
        <w:rPr>
          <w:rFonts w:ascii="Arial" w:eastAsia="Arial" w:hAnsi="Arial" w:cs="Arial"/>
          <w:sz w:val="24"/>
          <w:szCs w:val="24"/>
        </w:rPr>
        <w:t>Programa propuesto para el dictado en el año 2019</w:t>
      </w:r>
    </w:p>
    <w:p w14:paraId="0000000A" w14:textId="77777777" w:rsidR="0004315B" w:rsidRDefault="0004315B">
      <w:pPr>
        <w:jc w:val="both"/>
        <w:rPr>
          <w:rFonts w:ascii="Arial" w:eastAsia="Arial" w:hAnsi="Arial" w:cs="Arial"/>
          <w:sz w:val="24"/>
          <w:szCs w:val="24"/>
        </w:rPr>
      </w:pPr>
    </w:p>
    <w:p w14:paraId="0000000B" w14:textId="77777777" w:rsidR="0004315B" w:rsidRDefault="0099301F">
      <w:pPr>
        <w:jc w:val="both"/>
        <w:rPr>
          <w:rFonts w:ascii="Arial" w:eastAsia="Arial" w:hAnsi="Arial" w:cs="Arial"/>
          <w:sz w:val="24"/>
          <w:szCs w:val="24"/>
        </w:rPr>
      </w:pPr>
      <w:r>
        <w:rPr>
          <w:rFonts w:ascii="Arial" w:eastAsia="Arial" w:hAnsi="Arial" w:cs="Arial"/>
          <w:sz w:val="24"/>
          <w:szCs w:val="24"/>
        </w:rPr>
        <w:t>Presentación:</w:t>
      </w:r>
    </w:p>
    <w:p w14:paraId="0000000C" w14:textId="77777777" w:rsidR="0004315B" w:rsidRDefault="0099301F">
      <w:pPr>
        <w:jc w:val="both"/>
        <w:rPr>
          <w:rFonts w:ascii="Arial" w:eastAsia="Arial" w:hAnsi="Arial" w:cs="Arial"/>
          <w:sz w:val="24"/>
          <w:szCs w:val="24"/>
        </w:rPr>
      </w:pPr>
      <w:r>
        <w:rPr>
          <w:rFonts w:ascii="Arial" w:eastAsia="Arial" w:hAnsi="Arial" w:cs="Arial"/>
          <w:sz w:val="24"/>
          <w:szCs w:val="24"/>
        </w:rPr>
        <w:tab/>
        <w:t xml:space="preserve">En este seminario optaremos por analizar el problema de la construcción de la agenda desde perspectivas tradicionales vinculadas con las formas de construcción de los problemas sociales, problematizando las formas en cómo se </w:t>
      </w:r>
      <w:proofErr w:type="gramStart"/>
      <w:r>
        <w:rPr>
          <w:rFonts w:ascii="Arial" w:eastAsia="Arial" w:hAnsi="Arial" w:cs="Arial"/>
          <w:sz w:val="24"/>
          <w:szCs w:val="24"/>
        </w:rPr>
        <w:t>procesa</w:t>
      </w:r>
      <w:proofErr w:type="gramEnd"/>
      <w:r>
        <w:rPr>
          <w:rFonts w:ascii="Arial" w:eastAsia="Arial" w:hAnsi="Arial" w:cs="Arial"/>
          <w:sz w:val="24"/>
          <w:szCs w:val="24"/>
        </w:rPr>
        <w:t xml:space="preserve"> la expresión de la cuestión social, con los diferentes acentos puestos sobre factores como la relación capital- trabajo, los </w:t>
      </w:r>
      <w:proofErr w:type="spellStart"/>
      <w:r>
        <w:rPr>
          <w:rFonts w:ascii="Arial" w:eastAsia="Arial" w:hAnsi="Arial" w:cs="Arial"/>
          <w:sz w:val="24"/>
          <w:szCs w:val="24"/>
        </w:rPr>
        <w:t>ethos</w:t>
      </w:r>
      <w:proofErr w:type="spellEnd"/>
      <w:r>
        <w:rPr>
          <w:rFonts w:ascii="Arial" w:eastAsia="Arial" w:hAnsi="Arial" w:cs="Arial"/>
          <w:sz w:val="24"/>
          <w:szCs w:val="24"/>
        </w:rPr>
        <w:t xml:space="preserve"> culturales, los pisos de desigualdad socialmente aceptados, etc. Si bien otros enfoques como los identificados como “agenda </w:t>
      </w:r>
      <w:proofErr w:type="spellStart"/>
      <w:r>
        <w:rPr>
          <w:rFonts w:ascii="Arial" w:eastAsia="Arial" w:hAnsi="Arial" w:cs="Arial"/>
          <w:sz w:val="24"/>
          <w:szCs w:val="24"/>
        </w:rPr>
        <w:t>setting</w:t>
      </w:r>
      <w:proofErr w:type="spellEnd"/>
      <w:r>
        <w:rPr>
          <w:rFonts w:ascii="Arial" w:eastAsia="Arial" w:hAnsi="Arial" w:cs="Arial"/>
          <w:sz w:val="24"/>
          <w:szCs w:val="24"/>
        </w:rPr>
        <w:t>”, orientados a la indagación sobre la forma en que los grandes medios de masas inciden en la construcción de los temas de debate público, han ganado relevancia en la discusión académica, no centraremos la mirada exclusivamente en estos aspectos, aunque los abordaremos en las distintas unidades.</w:t>
      </w:r>
    </w:p>
    <w:p w14:paraId="0000000D" w14:textId="77777777" w:rsidR="0004315B" w:rsidRDefault="0099301F">
      <w:pPr>
        <w:jc w:val="both"/>
        <w:rPr>
          <w:rFonts w:ascii="Arial" w:eastAsia="Arial" w:hAnsi="Arial" w:cs="Arial"/>
          <w:sz w:val="24"/>
          <w:szCs w:val="24"/>
        </w:rPr>
      </w:pPr>
      <w:r>
        <w:rPr>
          <w:rFonts w:ascii="Arial" w:eastAsia="Arial" w:hAnsi="Arial" w:cs="Arial"/>
          <w:sz w:val="24"/>
          <w:szCs w:val="24"/>
        </w:rPr>
        <w:tab/>
        <w:t>Una primera parte de la materia estará dedicada a analizar discusiones acerca de lo que implica conceptualmente “la agenda”. Luego nos volcaremos a analizar las disputas de su construcción en Argentina, desde una perspectiva regional, entendiendo que la asignatura propuesta para esta maestría debe brindar elementos de análisis sobre la coyuntura de las políticas sociales que no son abordadas en otras instancias.</w:t>
      </w:r>
    </w:p>
    <w:p w14:paraId="0000000E"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 xml:space="preserve">Desglosaremos el análisis de nuestra agenda desde distintos ángulos. Dedicaremos un bloque al debate acerca de cómo se reconfiguran los actores involucrados en la disputa de la agenda. Entendemos que parte de la disputa de la agenda es la del reconocimiento de actores de la misma y el carácter conferido a </w:t>
      </w:r>
      <w:r>
        <w:rPr>
          <w:rFonts w:ascii="Arial" w:eastAsia="Arial" w:hAnsi="Arial" w:cs="Arial"/>
          <w:sz w:val="24"/>
          <w:szCs w:val="24"/>
        </w:rPr>
        <w:lastRenderedPageBreak/>
        <w:t xml:space="preserve">los mismos en el despliegue de los construidos como problemas sociales; abordaremos al estado en sus diferentes dimensiones, a las expresiones de la organización social territorial, a los medios de comunicación social, las organizaciones del mundo del trabajo, los organismos internacionales, la relación con los procesos regionales, etc. </w:t>
      </w:r>
    </w:p>
    <w:p w14:paraId="0000000F"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Especialmente nos resulta importante el análisis de los cambios en las demandas al estado como actor, en tanto desde el campo académico se ha fluctuado ostensiblemente entre las lecturas del fin del estado, en el marco del fin de lo social y de la crisis de las instituciones, a las lecturas sobre las centralidades estatales con todavía imprecisiones sobre el carácter sustantivo del vínculo y no sólo centrado sobre la adjetivación del mismo.</w:t>
      </w:r>
    </w:p>
    <w:p w14:paraId="00000010"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 xml:space="preserve">Abordaremos la discusión sobre la idea de sujeto en la política social y cómo esta se redefine en la construcción de las políticas sociales. Retomaremos las críticas a la idea de ciudadanía tradicional. Asimismo realizaremos una lectura sobre las formas de participación </w:t>
      </w:r>
      <w:proofErr w:type="spellStart"/>
      <w:r>
        <w:rPr>
          <w:rFonts w:ascii="Arial" w:eastAsia="Arial" w:hAnsi="Arial" w:cs="Arial"/>
          <w:sz w:val="24"/>
          <w:szCs w:val="24"/>
        </w:rPr>
        <w:t>territorializadas</w:t>
      </w:r>
      <w:proofErr w:type="spellEnd"/>
      <w:r>
        <w:rPr>
          <w:rFonts w:ascii="Arial" w:eastAsia="Arial" w:hAnsi="Arial" w:cs="Arial"/>
          <w:sz w:val="24"/>
          <w:szCs w:val="24"/>
        </w:rPr>
        <w:t xml:space="preserve"> y los desafíos de las mismas en esta etapa.</w:t>
      </w:r>
    </w:p>
    <w:p w14:paraId="00000011"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Dedicaremos bibliografías y momentos en las clases para analizar dos tipos distintos de influencias internacionales sobre la agenda argentina: por un lado la influencia de los organismos internacionales y por otro los cambios que involucran importantes redefiniciones de políticas sociales en los estados latinoamericanos.</w:t>
      </w:r>
    </w:p>
    <w:p w14:paraId="00000012"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Una de las principales dificultades que encontramos en la organización de este programa es que, de acuerdo a lo cambiante de las preocupaciones de “agenda”, sobre algunos temas la bibliografía disponible no se encuentra lo suficientemente actualizada. Intentaremos suplir ciertos insumos con invitados que puedan desde su inserción acercar aportes para la discusión.</w:t>
      </w:r>
    </w:p>
    <w:p w14:paraId="00000013"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 xml:space="preserve">Asimismo, incorporamos en el programa algunos tópicos sociales que resaltan/ manifiestan como preocupaciones en tanto demandas de la población en general y no asociadas a ningún colectivo en particular, pero que hallan un punto de intersección con el tema de las políticas sociales. Asimismo, el planteamiento de la discusión de la materia, considera la perspectiva de género de modo transversal, entendiendo que dicha mirada debe ser parte ineludible de los contenidos no como un punto específico y puntual del programa, sino que debe estar presente en cada una de las unidades temáticas que abordamos (sujetos, territorios, temáticas especificas). Es por esto que cualquier discusión vinculada a las políticas sociales en general, y a la agenda de la política social debe estar atravesada por una mirada que comprenda que el género en tanto construcción social y cultural está inmersa en la trama de las relaciones sociales, económicas, </w:t>
      </w:r>
      <w:r>
        <w:rPr>
          <w:rFonts w:ascii="Arial" w:eastAsia="Arial" w:hAnsi="Arial" w:cs="Arial"/>
          <w:sz w:val="24"/>
          <w:szCs w:val="24"/>
        </w:rPr>
        <w:lastRenderedPageBreak/>
        <w:t>culturales, políticas en las que hombres y mujeres desarrollamos nuestras condiciones de vida. Y en la medida que hagamos visible la forma y contenidos que adquiere el género estructurando los distintos procesos, podremos -en tanto especialistas del campo de las políticas sociales-, pensar, diagnosticar, diseñar, implementar y evaluar políticas públicas orientadas a transformar esos procesos/relaciones.</w:t>
      </w:r>
    </w:p>
    <w:p w14:paraId="00000014" w14:textId="77777777" w:rsidR="0004315B" w:rsidRDefault="0099301F">
      <w:pPr>
        <w:jc w:val="both"/>
        <w:rPr>
          <w:rFonts w:ascii="Arial" w:eastAsia="Arial" w:hAnsi="Arial" w:cs="Arial"/>
          <w:sz w:val="24"/>
          <w:szCs w:val="24"/>
        </w:rPr>
      </w:pPr>
      <w:r>
        <w:rPr>
          <w:rFonts w:ascii="Arial" w:eastAsia="Arial" w:hAnsi="Arial" w:cs="Arial"/>
          <w:sz w:val="24"/>
          <w:szCs w:val="24"/>
        </w:rPr>
        <w:tab/>
        <w:t xml:space="preserve">Por último nos interesa proponer el análisis de cuestiones de orden prospectivo que puedan aportar a las tesis en elaboración de les </w:t>
      </w:r>
      <w:proofErr w:type="spellStart"/>
      <w:r>
        <w:rPr>
          <w:rFonts w:ascii="Arial" w:eastAsia="Arial" w:hAnsi="Arial" w:cs="Arial"/>
          <w:sz w:val="24"/>
          <w:szCs w:val="24"/>
        </w:rPr>
        <w:t>maestrandes</w:t>
      </w:r>
      <w:proofErr w:type="spellEnd"/>
      <w:r>
        <w:rPr>
          <w:rFonts w:ascii="Arial" w:eastAsia="Arial" w:hAnsi="Arial" w:cs="Arial"/>
          <w:sz w:val="24"/>
          <w:szCs w:val="24"/>
        </w:rPr>
        <w:t xml:space="preserve"> no sólo a partir de diagnósticos de la situación actual sino sobre aspectos potenciales para la construcción de escenarios </w:t>
      </w:r>
      <w:proofErr w:type="spellStart"/>
      <w:r>
        <w:rPr>
          <w:rFonts w:ascii="Arial" w:eastAsia="Arial" w:hAnsi="Arial" w:cs="Arial"/>
          <w:sz w:val="24"/>
          <w:szCs w:val="24"/>
        </w:rPr>
        <w:t>futuros.En</w:t>
      </w:r>
      <w:proofErr w:type="spellEnd"/>
      <w:r>
        <w:rPr>
          <w:rFonts w:ascii="Arial" w:eastAsia="Arial" w:hAnsi="Arial" w:cs="Arial"/>
          <w:sz w:val="24"/>
          <w:szCs w:val="24"/>
        </w:rPr>
        <w:t xml:space="preserve"> esta línea la pregunta por nuevos elementos que aparecen en la construcción de la agenda como por ejemplo las tecnologías relacionadas con los usos de la información (como por ejemplo </w:t>
      </w:r>
      <w:proofErr w:type="spellStart"/>
      <w:r>
        <w:rPr>
          <w:rFonts w:ascii="Arial" w:eastAsia="Arial" w:hAnsi="Arial" w:cs="Arial"/>
          <w:sz w:val="24"/>
          <w:szCs w:val="24"/>
        </w:rPr>
        <w:t>big</w:t>
      </w:r>
      <w:proofErr w:type="spellEnd"/>
      <w:r>
        <w:rPr>
          <w:rFonts w:ascii="Arial" w:eastAsia="Arial" w:hAnsi="Arial" w:cs="Arial"/>
          <w:sz w:val="24"/>
          <w:szCs w:val="24"/>
        </w:rPr>
        <w:t xml:space="preserve"> data) será retomada en el seminario</w:t>
      </w:r>
    </w:p>
    <w:p w14:paraId="00000015"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 </w:t>
      </w:r>
    </w:p>
    <w:p w14:paraId="00000016" w14:textId="77777777" w:rsidR="0004315B" w:rsidRDefault="0099301F">
      <w:pPr>
        <w:jc w:val="both"/>
        <w:rPr>
          <w:rFonts w:ascii="Arial" w:eastAsia="Arial" w:hAnsi="Arial" w:cs="Arial"/>
          <w:sz w:val="24"/>
          <w:szCs w:val="24"/>
        </w:rPr>
      </w:pPr>
      <w:r>
        <w:rPr>
          <w:rFonts w:ascii="Arial" w:eastAsia="Arial" w:hAnsi="Arial" w:cs="Arial"/>
          <w:sz w:val="24"/>
          <w:szCs w:val="24"/>
        </w:rPr>
        <w:t>Objetivo General:</w:t>
      </w:r>
    </w:p>
    <w:p w14:paraId="00000017" w14:textId="77777777" w:rsidR="0004315B" w:rsidRDefault="0004315B">
      <w:pPr>
        <w:jc w:val="both"/>
        <w:rPr>
          <w:rFonts w:ascii="Arial" w:eastAsia="Arial" w:hAnsi="Arial" w:cs="Arial"/>
          <w:sz w:val="24"/>
          <w:szCs w:val="24"/>
        </w:rPr>
      </w:pPr>
    </w:p>
    <w:p w14:paraId="00000018" w14:textId="77777777" w:rsidR="0004315B" w:rsidRDefault="0099301F">
      <w:pPr>
        <w:jc w:val="both"/>
        <w:rPr>
          <w:rFonts w:ascii="Arial" w:eastAsia="Arial" w:hAnsi="Arial" w:cs="Arial"/>
          <w:sz w:val="24"/>
          <w:szCs w:val="24"/>
        </w:rPr>
      </w:pPr>
      <w:r>
        <w:rPr>
          <w:rFonts w:ascii="Arial" w:eastAsia="Arial" w:hAnsi="Arial" w:cs="Arial"/>
          <w:sz w:val="24"/>
          <w:szCs w:val="24"/>
        </w:rPr>
        <w:t>Que las/los maestrandos puedan conocer los procesos involucrados en la construcción de “la agenda de las políticas sociales” a fin de generar conocimiento sobre estos procesos en la Argentina de principios de siglo XXI.</w:t>
      </w:r>
    </w:p>
    <w:p w14:paraId="00000019" w14:textId="77777777" w:rsidR="0004315B" w:rsidRDefault="0004315B">
      <w:pPr>
        <w:jc w:val="both"/>
        <w:rPr>
          <w:rFonts w:ascii="Arial" w:eastAsia="Arial" w:hAnsi="Arial" w:cs="Arial"/>
          <w:sz w:val="24"/>
          <w:szCs w:val="24"/>
        </w:rPr>
      </w:pPr>
    </w:p>
    <w:p w14:paraId="0000001A" w14:textId="77777777" w:rsidR="0004315B" w:rsidRDefault="0099301F">
      <w:pPr>
        <w:jc w:val="both"/>
        <w:rPr>
          <w:rFonts w:ascii="Arial" w:eastAsia="Arial" w:hAnsi="Arial" w:cs="Arial"/>
          <w:sz w:val="24"/>
          <w:szCs w:val="24"/>
        </w:rPr>
      </w:pPr>
      <w:r>
        <w:rPr>
          <w:rFonts w:ascii="Arial" w:eastAsia="Arial" w:hAnsi="Arial" w:cs="Arial"/>
          <w:sz w:val="24"/>
          <w:szCs w:val="24"/>
        </w:rPr>
        <w:t>Objetivos específicos:</w:t>
      </w:r>
    </w:p>
    <w:p w14:paraId="0000001B" w14:textId="77777777" w:rsidR="0004315B" w:rsidRDefault="0099301F">
      <w:pPr>
        <w:numPr>
          <w:ilvl w:val="0"/>
          <w:numId w:val="1"/>
        </w:numPr>
        <w:jc w:val="both"/>
        <w:rPr>
          <w:rFonts w:ascii="Arial" w:eastAsia="Arial" w:hAnsi="Arial" w:cs="Arial"/>
          <w:sz w:val="24"/>
          <w:szCs w:val="24"/>
        </w:rPr>
      </w:pPr>
      <w:r>
        <w:rPr>
          <w:rFonts w:ascii="Arial" w:eastAsia="Arial" w:hAnsi="Arial" w:cs="Arial"/>
          <w:sz w:val="24"/>
          <w:szCs w:val="24"/>
        </w:rPr>
        <w:t>Que las/los maestrandas/os puedan conocer y analizar los principales temas de la agenda de políticas sociales argentina.</w:t>
      </w:r>
    </w:p>
    <w:p w14:paraId="0000001C" w14:textId="77777777" w:rsidR="0004315B" w:rsidRDefault="0099301F">
      <w:pPr>
        <w:numPr>
          <w:ilvl w:val="0"/>
          <w:numId w:val="1"/>
        </w:numPr>
        <w:jc w:val="both"/>
        <w:rPr>
          <w:rFonts w:ascii="Arial" w:eastAsia="Arial" w:hAnsi="Arial" w:cs="Arial"/>
          <w:sz w:val="24"/>
          <w:szCs w:val="24"/>
        </w:rPr>
      </w:pPr>
      <w:r>
        <w:rPr>
          <w:rFonts w:ascii="Arial" w:eastAsia="Arial" w:hAnsi="Arial" w:cs="Arial"/>
          <w:sz w:val="24"/>
          <w:szCs w:val="24"/>
        </w:rPr>
        <w:t>Que puedan identificar tensiones en la reformulación de los sujetos/actores involucrados en la disputa de la agenda de las políticas sociales.</w:t>
      </w:r>
    </w:p>
    <w:p w14:paraId="0000001D" w14:textId="77777777" w:rsidR="0004315B" w:rsidRDefault="0099301F">
      <w:pPr>
        <w:numPr>
          <w:ilvl w:val="0"/>
          <w:numId w:val="1"/>
        </w:numPr>
        <w:jc w:val="both"/>
        <w:rPr>
          <w:rFonts w:ascii="Arial" w:eastAsia="Arial" w:hAnsi="Arial" w:cs="Arial"/>
          <w:sz w:val="24"/>
          <w:szCs w:val="24"/>
        </w:rPr>
      </w:pPr>
      <w:r>
        <w:rPr>
          <w:rFonts w:ascii="Arial" w:eastAsia="Arial" w:hAnsi="Arial" w:cs="Arial"/>
          <w:sz w:val="24"/>
          <w:szCs w:val="24"/>
        </w:rPr>
        <w:t>Que puedan plantear nuevos interrogantes sobre la agenda de las políticas sociales a partir de los cambios que en los procesos regionales construyen “lo social”.</w:t>
      </w:r>
    </w:p>
    <w:p w14:paraId="0000001E" w14:textId="77777777" w:rsidR="0004315B" w:rsidRDefault="0004315B">
      <w:pPr>
        <w:jc w:val="both"/>
        <w:rPr>
          <w:rFonts w:ascii="Arial" w:eastAsia="Arial" w:hAnsi="Arial" w:cs="Arial"/>
          <w:sz w:val="24"/>
          <w:szCs w:val="24"/>
        </w:rPr>
      </w:pPr>
    </w:p>
    <w:p w14:paraId="0000001F" w14:textId="77777777" w:rsidR="0004315B" w:rsidRDefault="0099301F">
      <w:pPr>
        <w:jc w:val="both"/>
        <w:rPr>
          <w:rFonts w:ascii="Arial" w:eastAsia="Arial" w:hAnsi="Arial" w:cs="Arial"/>
          <w:sz w:val="24"/>
          <w:szCs w:val="24"/>
        </w:rPr>
      </w:pPr>
      <w:r>
        <w:rPr>
          <w:rFonts w:ascii="Arial" w:eastAsia="Arial" w:hAnsi="Arial" w:cs="Arial"/>
          <w:sz w:val="24"/>
          <w:szCs w:val="24"/>
        </w:rPr>
        <w:t>Organización de las clases:</w:t>
      </w:r>
    </w:p>
    <w:p w14:paraId="00000020" w14:textId="77777777" w:rsidR="0004315B" w:rsidRDefault="0004315B">
      <w:pPr>
        <w:jc w:val="both"/>
        <w:rPr>
          <w:rFonts w:ascii="Arial" w:eastAsia="Arial" w:hAnsi="Arial" w:cs="Arial"/>
          <w:sz w:val="24"/>
          <w:szCs w:val="24"/>
        </w:rPr>
      </w:pPr>
    </w:p>
    <w:p w14:paraId="00000021"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lastRenderedPageBreak/>
        <w:t>Las clases se estructurarán a partir de exposiciones de las docentes y formas de participación planificadas y espontaneas de las/os maestrandas/os. Se prevé sobre algunos contenidos contar con invitados que puedan brindar insumos a partir de su práctica como actores de políticas sociales. De acuerdo a la visita de los mismos puede verse alterado el cronograma de clases posteriormente planteado.</w:t>
      </w:r>
    </w:p>
    <w:p w14:paraId="00000022" w14:textId="77777777" w:rsidR="0004315B" w:rsidRDefault="0099301F">
      <w:pPr>
        <w:ind w:firstLine="708"/>
        <w:jc w:val="both"/>
        <w:rPr>
          <w:rFonts w:ascii="Arial" w:eastAsia="Arial" w:hAnsi="Arial" w:cs="Arial"/>
          <w:sz w:val="24"/>
          <w:szCs w:val="24"/>
        </w:rPr>
      </w:pPr>
      <w:r>
        <w:rPr>
          <w:rFonts w:ascii="Arial" w:eastAsia="Arial" w:hAnsi="Arial" w:cs="Arial"/>
          <w:sz w:val="24"/>
          <w:szCs w:val="24"/>
        </w:rPr>
        <w:t xml:space="preserve">Se establecerá una dinámica que permita vincular los temas de tesis en elaboración con la discusión sobre los procesos de construcción de la agenda de las políticas sociales. Para lo cual los estudiantes tendrán que exponer sobre sus temas de tesis y su relación con los temas propuestos en el seminario. </w:t>
      </w:r>
    </w:p>
    <w:p w14:paraId="00000023" w14:textId="77777777" w:rsidR="0004315B" w:rsidRDefault="0004315B">
      <w:pPr>
        <w:ind w:firstLine="708"/>
        <w:jc w:val="both"/>
        <w:rPr>
          <w:rFonts w:ascii="Arial" w:eastAsia="Arial" w:hAnsi="Arial" w:cs="Arial"/>
          <w:sz w:val="24"/>
          <w:szCs w:val="24"/>
        </w:rPr>
      </w:pPr>
    </w:p>
    <w:p w14:paraId="00000024" w14:textId="77777777" w:rsidR="0004315B" w:rsidRDefault="0004315B">
      <w:pPr>
        <w:jc w:val="both"/>
        <w:rPr>
          <w:rFonts w:ascii="Arial" w:eastAsia="Arial" w:hAnsi="Arial" w:cs="Arial"/>
          <w:sz w:val="24"/>
          <w:szCs w:val="24"/>
        </w:rPr>
      </w:pPr>
    </w:p>
    <w:p w14:paraId="00000025" w14:textId="77777777" w:rsidR="0004315B" w:rsidRDefault="0099301F">
      <w:pPr>
        <w:numPr>
          <w:ilvl w:val="0"/>
          <w:numId w:val="2"/>
        </w:numPr>
        <w:jc w:val="both"/>
        <w:rPr>
          <w:rFonts w:ascii="Arial" w:eastAsia="Arial" w:hAnsi="Arial" w:cs="Arial"/>
          <w:b/>
          <w:sz w:val="24"/>
          <w:szCs w:val="24"/>
        </w:rPr>
      </w:pPr>
      <w:r>
        <w:rPr>
          <w:rFonts w:ascii="Arial" w:eastAsia="Arial" w:hAnsi="Arial" w:cs="Arial"/>
          <w:b/>
          <w:sz w:val="24"/>
          <w:szCs w:val="24"/>
        </w:rPr>
        <w:t xml:space="preserve">Agenda de política social: </w:t>
      </w:r>
    </w:p>
    <w:p w14:paraId="00000026" w14:textId="77777777" w:rsidR="0004315B" w:rsidRDefault="0099301F">
      <w:pPr>
        <w:jc w:val="both"/>
        <w:rPr>
          <w:rFonts w:ascii="Arial" w:eastAsia="Arial" w:hAnsi="Arial" w:cs="Arial"/>
          <w:sz w:val="24"/>
          <w:szCs w:val="24"/>
        </w:rPr>
      </w:pPr>
      <w:r>
        <w:rPr>
          <w:rFonts w:ascii="Arial" w:eastAsia="Arial" w:hAnsi="Arial" w:cs="Arial"/>
          <w:sz w:val="24"/>
          <w:szCs w:val="24"/>
        </w:rPr>
        <w:t>Principales cuestiones sobre la construcción de la agenda, debate sobre problemas sociales y las políticas públicas. La particularidad de la construcción de la cuestión social en Latinoamérica y su impacto en la construcción de la agenda. La definición de los problemas sociales. Nuevos conceptos para pensar la cuestión social en América Latina</w:t>
      </w:r>
      <w:r>
        <w:rPr>
          <w:rFonts w:ascii="Arial" w:eastAsia="Arial" w:hAnsi="Arial" w:cs="Arial"/>
          <w:color w:val="283769"/>
          <w:sz w:val="24"/>
          <w:szCs w:val="24"/>
        </w:rPr>
        <w:t xml:space="preserve">. </w:t>
      </w:r>
      <w:r>
        <w:rPr>
          <w:rFonts w:ascii="Arial" w:eastAsia="Arial" w:hAnsi="Arial" w:cs="Arial"/>
          <w:sz w:val="24"/>
          <w:szCs w:val="24"/>
        </w:rPr>
        <w:t>El género como categoría transversal de análisis en la construcción de la agenda.</w:t>
      </w:r>
    </w:p>
    <w:p w14:paraId="00000027" w14:textId="77777777" w:rsidR="0004315B" w:rsidRDefault="0004315B">
      <w:pPr>
        <w:jc w:val="both"/>
        <w:rPr>
          <w:rFonts w:ascii="Arial" w:eastAsia="Arial" w:hAnsi="Arial" w:cs="Arial"/>
          <w:sz w:val="24"/>
          <w:szCs w:val="24"/>
        </w:rPr>
      </w:pPr>
    </w:p>
    <w:p w14:paraId="00000028" w14:textId="77777777" w:rsidR="0004315B" w:rsidRDefault="0099301F">
      <w:pPr>
        <w:spacing w:after="0" w:line="240" w:lineRule="auto"/>
        <w:jc w:val="both"/>
      </w:pPr>
      <w:r>
        <w:rPr>
          <w:rFonts w:ascii="Arial" w:eastAsia="Arial" w:hAnsi="Arial" w:cs="Arial"/>
          <w:b/>
          <w:sz w:val="24"/>
          <w:szCs w:val="24"/>
        </w:rPr>
        <w:t>Bibliografía obligatoria:</w:t>
      </w:r>
    </w:p>
    <w:p w14:paraId="00000029"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A"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Oszlak</w:t>
      </w:r>
      <w:proofErr w:type="spellEnd"/>
      <w:r>
        <w:rPr>
          <w:rFonts w:ascii="Arial" w:eastAsia="Arial" w:hAnsi="Arial" w:cs="Arial"/>
          <w:color w:val="000000"/>
          <w:sz w:val="24"/>
          <w:szCs w:val="24"/>
        </w:rPr>
        <w:t xml:space="preserve"> y </w:t>
      </w:r>
      <w:proofErr w:type="spellStart"/>
      <w:r>
        <w:rPr>
          <w:rFonts w:ascii="Arial" w:eastAsia="Arial" w:hAnsi="Arial" w:cs="Arial"/>
          <w:color w:val="000000"/>
          <w:sz w:val="24"/>
          <w:szCs w:val="24"/>
        </w:rPr>
        <w:t>Gatman</w:t>
      </w:r>
      <w:proofErr w:type="spellEnd"/>
      <w:r>
        <w:rPr>
          <w:rFonts w:ascii="Arial" w:eastAsia="Arial" w:hAnsi="Arial" w:cs="Arial"/>
          <w:color w:val="000000"/>
          <w:sz w:val="24"/>
          <w:szCs w:val="24"/>
        </w:rPr>
        <w:t xml:space="preserve"> (2007) La agenda estatal y sus tensiones: Gobernabilidad, desarrollo y equidad. </w:t>
      </w:r>
      <w:proofErr w:type="spellStart"/>
      <w:proofErr w:type="gramStart"/>
      <w:r w:rsidRPr="0099301F">
        <w:rPr>
          <w:rFonts w:ascii="Arial" w:eastAsia="Arial" w:hAnsi="Arial" w:cs="Arial"/>
          <w:color w:val="000000"/>
          <w:sz w:val="24"/>
          <w:szCs w:val="24"/>
          <w:lang w:val="en-US"/>
        </w:rPr>
        <w:t>En</w:t>
      </w:r>
      <w:proofErr w:type="spellEnd"/>
      <w:r w:rsidRPr="0099301F">
        <w:rPr>
          <w:rFonts w:ascii="Arial" w:eastAsia="Arial" w:hAnsi="Arial" w:cs="Arial"/>
          <w:color w:val="000000"/>
          <w:sz w:val="24"/>
          <w:szCs w:val="24"/>
          <w:lang w:val="en-US"/>
        </w:rPr>
        <w:t xml:space="preserve"> </w:t>
      </w:r>
      <w:proofErr w:type="spellStart"/>
      <w:r w:rsidRPr="0099301F">
        <w:rPr>
          <w:rFonts w:ascii="Arial" w:eastAsia="Arial" w:hAnsi="Arial" w:cs="Arial"/>
          <w:color w:val="000000"/>
          <w:sz w:val="24"/>
          <w:szCs w:val="24"/>
          <w:lang w:val="en-US"/>
        </w:rPr>
        <w:t>Revista</w:t>
      </w:r>
      <w:proofErr w:type="spellEnd"/>
      <w:r w:rsidRPr="0099301F">
        <w:rPr>
          <w:rFonts w:ascii="Arial" w:eastAsia="Arial" w:hAnsi="Arial" w:cs="Arial"/>
          <w:color w:val="000000"/>
          <w:sz w:val="24"/>
          <w:szCs w:val="24"/>
          <w:lang w:val="en-US"/>
        </w:rPr>
        <w:t xml:space="preserve"> </w:t>
      </w:r>
      <w:proofErr w:type="spellStart"/>
      <w:r w:rsidRPr="0099301F">
        <w:rPr>
          <w:rFonts w:ascii="Arial" w:eastAsia="Arial" w:hAnsi="Arial" w:cs="Arial"/>
          <w:color w:val="000000"/>
          <w:sz w:val="24"/>
          <w:szCs w:val="24"/>
          <w:lang w:val="en-US"/>
        </w:rPr>
        <w:t>Iberoamericana</w:t>
      </w:r>
      <w:proofErr w:type="spellEnd"/>
      <w:r w:rsidRPr="0099301F">
        <w:rPr>
          <w:rFonts w:ascii="Arial" w:eastAsia="Arial" w:hAnsi="Arial" w:cs="Arial"/>
          <w:color w:val="000000"/>
          <w:sz w:val="24"/>
          <w:szCs w:val="24"/>
          <w:lang w:val="en-US"/>
        </w:rPr>
        <w:t>.</w:t>
      </w:r>
      <w:proofErr w:type="gramEnd"/>
      <w:r w:rsidRPr="0099301F">
        <w:rPr>
          <w:rFonts w:ascii="Arial" w:eastAsia="Arial" w:hAnsi="Arial" w:cs="Arial"/>
          <w:color w:val="000000"/>
          <w:sz w:val="24"/>
          <w:szCs w:val="24"/>
          <w:lang w:val="en-US"/>
        </w:rPr>
        <w:t xml:space="preserve"> </w:t>
      </w:r>
      <w:proofErr w:type="gramStart"/>
      <w:r w:rsidRPr="0099301F">
        <w:rPr>
          <w:rFonts w:ascii="Arial" w:eastAsia="Arial" w:hAnsi="Arial" w:cs="Arial"/>
          <w:color w:val="000000"/>
          <w:sz w:val="24"/>
          <w:szCs w:val="24"/>
          <w:lang w:val="en-US"/>
        </w:rPr>
        <w:t>Nordic Journal of Latin American and Caribbean Studies.</w:t>
      </w:r>
      <w:proofErr w:type="gramEnd"/>
      <w:r w:rsidRPr="0099301F">
        <w:rPr>
          <w:rFonts w:ascii="Arial" w:eastAsia="Arial" w:hAnsi="Arial" w:cs="Arial"/>
          <w:color w:val="000000"/>
          <w:sz w:val="24"/>
          <w:szCs w:val="24"/>
          <w:lang w:val="en-US"/>
        </w:rPr>
        <w:t xml:space="preserve"> </w:t>
      </w:r>
      <w:r>
        <w:rPr>
          <w:rFonts w:ascii="Arial" w:eastAsia="Arial" w:hAnsi="Arial" w:cs="Arial"/>
          <w:color w:val="000000"/>
          <w:sz w:val="24"/>
          <w:szCs w:val="24"/>
        </w:rPr>
        <w:t>Volumen XXXVII</w:t>
      </w:r>
    </w:p>
    <w:p w14:paraId="0000002B"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2C" w14:textId="77777777" w:rsidR="0004315B" w:rsidRDefault="0099301F">
      <w:pPr>
        <w:spacing w:after="0" w:line="240" w:lineRule="auto"/>
        <w:jc w:val="both"/>
        <w:rPr>
          <w:rFonts w:ascii="Arial" w:eastAsia="Arial" w:hAnsi="Arial" w:cs="Arial"/>
          <w:sz w:val="24"/>
          <w:szCs w:val="24"/>
        </w:rPr>
      </w:pPr>
      <w:proofErr w:type="spellStart"/>
      <w:r>
        <w:rPr>
          <w:rFonts w:ascii="Arial" w:eastAsia="Arial" w:hAnsi="Arial" w:cs="Arial"/>
          <w:sz w:val="24"/>
          <w:szCs w:val="24"/>
        </w:rPr>
        <w:t>Carballeda</w:t>
      </w:r>
      <w:proofErr w:type="spellEnd"/>
      <w:r>
        <w:rPr>
          <w:rFonts w:ascii="Arial" w:eastAsia="Arial" w:hAnsi="Arial" w:cs="Arial"/>
          <w:sz w:val="24"/>
          <w:szCs w:val="24"/>
        </w:rPr>
        <w:t xml:space="preserve">, A. (2010) La cuestión Social como cuestión nacional, una mirada genealógica. En Ciencias Sociales. Revista de la Facultad de Ciencias Sociales de la UBA. Nº76. Buenos Aires. </w:t>
      </w:r>
    </w:p>
    <w:p w14:paraId="0000002D" w14:textId="77777777" w:rsidR="0004315B" w:rsidRDefault="0004315B">
      <w:pPr>
        <w:spacing w:after="0" w:line="240" w:lineRule="auto"/>
        <w:jc w:val="both"/>
        <w:rPr>
          <w:rFonts w:ascii="Arial" w:eastAsia="Arial" w:hAnsi="Arial" w:cs="Arial"/>
          <w:sz w:val="24"/>
          <w:szCs w:val="24"/>
        </w:rPr>
      </w:pPr>
    </w:p>
    <w:p w14:paraId="0000002E"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Levin</w:t>
      </w:r>
      <w:proofErr w:type="spellEnd"/>
      <w:r>
        <w:rPr>
          <w:rFonts w:ascii="Arial" w:eastAsia="Arial" w:hAnsi="Arial" w:cs="Arial"/>
          <w:color w:val="000000"/>
          <w:sz w:val="24"/>
          <w:szCs w:val="24"/>
        </w:rPr>
        <w:t>, Silvia (2013) El género en las políticas públicas: ¿Una opción o una obligación</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En Revista Cátedra Paralela, Nº10</w:t>
      </w:r>
    </w:p>
    <w:p w14:paraId="0000002F" w14:textId="77777777" w:rsidR="0004315B" w:rsidRDefault="0004315B">
      <w:pPr>
        <w:jc w:val="both"/>
        <w:rPr>
          <w:rFonts w:ascii="Arial" w:eastAsia="Arial" w:hAnsi="Arial" w:cs="Arial"/>
          <w:b/>
          <w:sz w:val="24"/>
          <w:szCs w:val="24"/>
        </w:rPr>
      </w:pPr>
    </w:p>
    <w:p w14:paraId="00000030" w14:textId="77777777" w:rsidR="0004315B" w:rsidRDefault="0099301F">
      <w:pPr>
        <w:jc w:val="both"/>
        <w:rPr>
          <w:rFonts w:ascii="Arial" w:eastAsia="Arial" w:hAnsi="Arial" w:cs="Arial"/>
          <w:b/>
          <w:sz w:val="24"/>
          <w:szCs w:val="24"/>
        </w:rPr>
      </w:pPr>
      <w:r>
        <w:rPr>
          <w:rFonts w:ascii="Arial" w:eastAsia="Arial" w:hAnsi="Arial" w:cs="Arial"/>
          <w:sz w:val="24"/>
          <w:szCs w:val="24"/>
          <w:u w:val="single"/>
        </w:rPr>
        <w:t>Bibliografía optativa</w:t>
      </w:r>
      <w:r>
        <w:rPr>
          <w:rFonts w:ascii="Arial" w:eastAsia="Arial" w:hAnsi="Arial" w:cs="Arial"/>
          <w:b/>
          <w:sz w:val="24"/>
          <w:szCs w:val="24"/>
        </w:rPr>
        <w:t>:</w:t>
      </w:r>
    </w:p>
    <w:p w14:paraId="00000031"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De Souza Santos, B (2010) La refundación del Estado y las epistemologías del Sur. Buenos Aires: Editorial Antropofagia. –</w:t>
      </w:r>
    </w:p>
    <w:p w14:paraId="00000032" w14:textId="77777777" w:rsidR="0004315B" w:rsidRDefault="0004315B">
      <w:pPr>
        <w:spacing w:after="0" w:line="240" w:lineRule="auto"/>
        <w:jc w:val="both"/>
        <w:rPr>
          <w:rFonts w:ascii="Arial" w:eastAsia="Arial" w:hAnsi="Arial" w:cs="Arial"/>
          <w:sz w:val="24"/>
          <w:szCs w:val="24"/>
        </w:rPr>
      </w:pPr>
    </w:p>
    <w:p w14:paraId="00000033" w14:textId="77777777" w:rsidR="0004315B" w:rsidRDefault="0099301F">
      <w:pPr>
        <w:spacing w:after="0" w:line="240" w:lineRule="auto"/>
        <w:jc w:val="both"/>
        <w:rPr>
          <w:rFonts w:ascii="Arial" w:eastAsia="Arial" w:hAnsi="Arial" w:cs="Arial"/>
          <w:sz w:val="24"/>
          <w:szCs w:val="24"/>
        </w:rPr>
      </w:pPr>
      <w:proofErr w:type="spellStart"/>
      <w:r>
        <w:rPr>
          <w:rFonts w:ascii="Arial" w:eastAsia="Arial" w:hAnsi="Arial" w:cs="Arial"/>
          <w:sz w:val="24"/>
          <w:szCs w:val="24"/>
        </w:rPr>
        <w:lastRenderedPageBreak/>
        <w:t>Donzelot</w:t>
      </w:r>
      <w:proofErr w:type="spellEnd"/>
      <w:r>
        <w:rPr>
          <w:rFonts w:ascii="Arial" w:eastAsia="Arial" w:hAnsi="Arial" w:cs="Arial"/>
          <w:sz w:val="24"/>
          <w:szCs w:val="24"/>
        </w:rPr>
        <w:t xml:space="preserve">, J. (2007) La invención de lo social. Buenos Aires: Nueva Visión. </w:t>
      </w:r>
      <w:proofErr w:type="spellStart"/>
      <w:r>
        <w:rPr>
          <w:rFonts w:ascii="Arial" w:eastAsia="Arial" w:hAnsi="Arial" w:cs="Arial"/>
          <w:sz w:val="24"/>
          <w:szCs w:val="24"/>
        </w:rPr>
        <w:t>Pag</w:t>
      </w:r>
      <w:proofErr w:type="spellEnd"/>
      <w:r>
        <w:rPr>
          <w:rFonts w:ascii="Arial" w:eastAsia="Arial" w:hAnsi="Arial" w:cs="Arial"/>
          <w:sz w:val="24"/>
          <w:szCs w:val="24"/>
        </w:rPr>
        <w:t>. 129 a 187</w:t>
      </w:r>
    </w:p>
    <w:p w14:paraId="00000034" w14:textId="77777777" w:rsidR="0004315B" w:rsidRDefault="0004315B">
      <w:pPr>
        <w:spacing w:after="0" w:line="240" w:lineRule="auto"/>
        <w:jc w:val="both"/>
        <w:rPr>
          <w:rFonts w:ascii="Arial" w:eastAsia="Arial" w:hAnsi="Arial" w:cs="Arial"/>
          <w:sz w:val="24"/>
          <w:szCs w:val="24"/>
        </w:rPr>
      </w:pPr>
    </w:p>
    <w:p w14:paraId="00000035"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Vilas, Carlos (2011) Después del Neoliberalismo: Estado y procesos políticos en América Latina. Buenos Aires: Universidad Nacional de Lanús. (</w:t>
      </w:r>
      <w:proofErr w:type="gramStart"/>
      <w:r>
        <w:rPr>
          <w:rFonts w:ascii="Arial" w:eastAsia="Arial" w:hAnsi="Arial" w:cs="Arial"/>
          <w:sz w:val="24"/>
          <w:szCs w:val="24"/>
        </w:rPr>
        <w:t>páginas</w:t>
      </w:r>
      <w:proofErr w:type="gramEnd"/>
      <w:r>
        <w:rPr>
          <w:rFonts w:ascii="Arial" w:eastAsia="Arial" w:hAnsi="Arial" w:cs="Arial"/>
          <w:sz w:val="24"/>
          <w:szCs w:val="24"/>
        </w:rPr>
        <w:t xml:space="preserve"> 111-145)</w:t>
      </w:r>
    </w:p>
    <w:p w14:paraId="00000036" w14:textId="77777777" w:rsidR="0004315B" w:rsidRDefault="0004315B">
      <w:pPr>
        <w:pBdr>
          <w:top w:val="nil"/>
          <w:left w:val="nil"/>
          <w:bottom w:val="nil"/>
          <w:right w:val="nil"/>
          <w:between w:val="nil"/>
        </w:pBdr>
        <w:spacing w:after="0" w:line="240" w:lineRule="auto"/>
        <w:jc w:val="both"/>
        <w:rPr>
          <w:color w:val="000000"/>
          <w:sz w:val="24"/>
          <w:szCs w:val="24"/>
        </w:rPr>
      </w:pPr>
    </w:p>
    <w:p w14:paraId="00000037" w14:textId="77777777" w:rsidR="0004315B" w:rsidRDefault="0004315B">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38" w14:textId="77777777" w:rsidR="0004315B" w:rsidRDefault="0099301F">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Clase: Disputas en la definición del “sujeto” de la política social</w:t>
      </w:r>
    </w:p>
    <w:p w14:paraId="00000039"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Confrontaciones para la idea tradicional de cuestión social. Frágiles, excluidos, vulnerables, pobres, trabajadores o pobladores. Críticas a la idea de ciudadanía, la idea de sociedad civil como construcción </w:t>
      </w:r>
      <w:proofErr w:type="spellStart"/>
      <w:r>
        <w:rPr>
          <w:rFonts w:ascii="Arial" w:eastAsia="Arial" w:hAnsi="Arial" w:cs="Arial"/>
          <w:sz w:val="24"/>
          <w:szCs w:val="24"/>
        </w:rPr>
        <w:t>prepolítica</w:t>
      </w:r>
      <w:proofErr w:type="spellEnd"/>
      <w:r>
        <w:rPr>
          <w:rFonts w:ascii="Arial" w:eastAsia="Arial" w:hAnsi="Arial" w:cs="Arial"/>
          <w:sz w:val="24"/>
          <w:szCs w:val="24"/>
        </w:rPr>
        <w:t xml:space="preserve">. Sujeto a emanciparse. </w:t>
      </w:r>
    </w:p>
    <w:p w14:paraId="0000003A" w14:textId="77777777" w:rsidR="0004315B" w:rsidRDefault="0099301F">
      <w:pPr>
        <w:jc w:val="both"/>
        <w:rPr>
          <w:rFonts w:ascii="Arial" w:eastAsia="Arial" w:hAnsi="Arial" w:cs="Arial"/>
          <w:sz w:val="24"/>
          <w:szCs w:val="24"/>
        </w:rPr>
      </w:pPr>
      <w:r>
        <w:rPr>
          <w:rFonts w:ascii="Arial" w:eastAsia="Arial" w:hAnsi="Arial" w:cs="Arial"/>
          <w:b/>
          <w:sz w:val="24"/>
          <w:szCs w:val="24"/>
        </w:rPr>
        <w:t>Bibliografía obligatoria</w:t>
      </w:r>
      <w:r>
        <w:rPr>
          <w:rFonts w:ascii="Arial" w:eastAsia="Arial" w:hAnsi="Arial" w:cs="Arial"/>
          <w:sz w:val="24"/>
          <w:szCs w:val="24"/>
        </w:rPr>
        <w:t>:</w:t>
      </w:r>
    </w:p>
    <w:p w14:paraId="0000003B" w14:textId="77777777" w:rsidR="0004315B" w:rsidRDefault="0099301F">
      <w:pPr>
        <w:jc w:val="both"/>
        <w:rPr>
          <w:rFonts w:ascii="Arial" w:eastAsia="Arial" w:hAnsi="Arial" w:cs="Arial"/>
          <w:sz w:val="24"/>
          <w:szCs w:val="24"/>
        </w:rPr>
      </w:pPr>
      <w:proofErr w:type="spellStart"/>
      <w:r>
        <w:rPr>
          <w:rFonts w:ascii="Arial" w:eastAsia="Arial" w:hAnsi="Arial" w:cs="Arial"/>
          <w:sz w:val="24"/>
          <w:szCs w:val="24"/>
        </w:rPr>
        <w:t>Danani</w:t>
      </w:r>
      <w:proofErr w:type="spellEnd"/>
      <w:r>
        <w:rPr>
          <w:rFonts w:ascii="Arial" w:eastAsia="Arial" w:hAnsi="Arial" w:cs="Arial"/>
          <w:sz w:val="24"/>
          <w:szCs w:val="24"/>
        </w:rPr>
        <w:t xml:space="preserve">, C. (2017) Políticas sociales universales: una buena idea sin sujeto. Consideraciones sobre la pobreza y las políticas sociales. En </w:t>
      </w:r>
      <w:r>
        <w:rPr>
          <w:rFonts w:ascii="Arial" w:eastAsia="Arial" w:hAnsi="Arial" w:cs="Arial"/>
          <w:i/>
          <w:sz w:val="24"/>
          <w:szCs w:val="24"/>
        </w:rPr>
        <w:t>Revista Sociedad</w:t>
      </w:r>
      <w:r>
        <w:rPr>
          <w:rFonts w:ascii="Arial" w:eastAsia="Arial" w:hAnsi="Arial" w:cs="Arial"/>
          <w:sz w:val="24"/>
          <w:szCs w:val="24"/>
        </w:rPr>
        <w:t>, N° 37. Facultad de Ciencias Sociales</w:t>
      </w:r>
    </w:p>
    <w:p w14:paraId="0000003C"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Arias, A (2018) Sujetos e imperativos de transformación. Algunas cuestiones para poner en duda lo que esperamos de las personas con las que trabajamos los trabajadores sociales. </w:t>
      </w:r>
      <w:r>
        <w:rPr>
          <w:rFonts w:ascii="Arial" w:eastAsia="Arial" w:hAnsi="Arial" w:cs="Arial"/>
          <w:i/>
          <w:sz w:val="24"/>
          <w:szCs w:val="24"/>
        </w:rPr>
        <w:t>Nueva Acción Crítica.</w:t>
      </w:r>
      <w:r>
        <w:rPr>
          <w:rFonts w:ascii="Arial" w:eastAsia="Arial" w:hAnsi="Arial" w:cs="Arial"/>
          <w:sz w:val="24"/>
          <w:szCs w:val="24"/>
        </w:rPr>
        <w:t xml:space="preserve"> Año 1 N°1. Perú: </w:t>
      </w:r>
      <w:proofErr w:type="spellStart"/>
      <w:r>
        <w:rPr>
          <w:rFonts w:ascii="Arial" w:eastAsia="Arial" w:hAnsi="Arial" w:cs="Arial"/>
          <w:sz w:val="24"/>
          <w:szCs w:val="24"/>
        </w:rPr>
        <w:t>Celats</w:t>
      </w:r>
      <w:proofErr w:type="spellEnd"/>
    </w:p>
    <w:p w14:paraId="0000003D"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De Sena, A. (2014) Las mujeres ¿protagonistas de los programas </w:t>
      </w:r>
      <w:proofErr w:type="spellStart"/>
      <w:r>
        <w:rPr>
          <w:rFonts w:ascii="Arial" w:eastAsia="Arial" w:hAnsi="Arial" w:cs="Arial"/>
          <w:sz w:val="24"/>
          <w:szCs w:val="24"/>
        </w:rPr>
        <w:t>sociales</w:t>
      </w:r>
      <w:proofErr w:type="gramStart"/>
      <w:r>
        <w:rPr>
          <w:rFonts w:ascii="Arial" w:eastAsia="Arial" w:hAnsi="Arial" w:cs="Arial"/>
          <w:sz w:val="24"/>
          <w:szCs w:val="24"/>
        </w:rPr>
        <w:t>?.</w:t>
      </w:r>
      <w:proofErr w:type="gramEnd"/>
      <w:r>
        <w:rPr>
          <w:rFonts w:ascii="Arial" w:eastAsia="Arial" w:hAnsi="Arial" w:cs="Arial"/>
          <w:sz w:val="24"/>
          <w:szCs w:val="24"/>
        </w:rPr>
        <w:t>Breves</w:t>
      </w:r>
      <w:proofErr w:type="spellEnd"/>
      <w:r>
        <w:rPr>
          <w:rFonts w:ascii="Arial" w:eastAsia="Arial" w:hAnsi="Arial" w:cs="Arial"/>
          <w:sz w:val="24"/>
          <w:szCs w:val="24"/>
        </w:rPr>
        <w:t xml:space="preserve"> aportes a la discusión sobre la feminización de las políticas sociales., en De Sena, A. (2014) Las políticas hechas cuerpo y lo social devenido emoción: lecturas sociológicas delas políticas sociales. Biblioteca de </w:t>
      </w:r>
      <w:proofErr w:type="spellStart"/>
      <w:r>
        <w:rPr>
          <w:rFonts w:ascii="Arial" w:eastAsia="Arial" w:hAnsi="Arial" w:cs="Arial"/>
          <w:sz w:val="24"/>
          <w:szCs w:val="24"/>
        </w:rPr>
        <w:t>Clacso</w:t>
      </w:r>
      <w:proofErr w:type="spellEnd"/>
    </w:p>
    <w:p w14:paraId="0000003E" w14:textId="77777777" w:rsidR="0004315B" w:rsidRDefault="0004315B">
      <w:pPr>
        <w:spacing w:line="240" w:lineRule="auto"/>
        <w:jc w:val="both"/>
        <w:rPr>
          <w:rFonts w:ascii="Arial" w:eastAsia="Arial" w:hAnsi="Arial" w:cs="Arial"/>
          <w:sz w:val="24"/>
          <w:szCs w:val="24"/>
          <w:u w:val="single"/>
        </w:rPr>
      </w:pPr>
    </w:p>
    <w:p w14:paraId="0000003F" w14:textId="77777777" w:rsidR="0004315B" w:rsidRDefault="0099301F">
      <w:pPr>
        <w:spacing w:line="240" w:lineRule="auto"/>
        <w:jc w:val="both"/>
        <w:rPr>
          <w:rFonts w:ascii="Arial" w:eastAsia="Arial" w:hAnsi="Arial" w:cs="Arial"/>
          <w:sz w:val="24"/>
          <w:szCs w:val="24"/>
          <w:u w:val="single"/>
        </w:rPr>
      </w:pPr>
      <w:r>
        <w:rPr>
          <w:rFonts w:ascii="Arial" w:eastAsia="Arial" w:hAnsi="Arial" w:cs="Arial"/>
          <w:sz w:val="24"/>
          <w:szCs w:val="24"/>
          <w:u w:val="single"/>
        </w:rPr>
        <w:t>Bibliografía optativa</w:t>
      </w:r>
    </w:p>
    <w:p w14:paraId="00000040"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Acosta, A (2008).El Buen Vivir, una oportunidad para construir, </w:t>
      </w:r>
      <w:r>
        <w:rPr>
          <w:rFonts w:ascii="Arial" w:eastAsia="Arial" w:hAnsi="Arial" w:cs="Arial"/>
          <w:i/>
          <w:sz w:val="24"/>
          <w:szCs w:val="24"/>
        </w:rPr>
        <w:t>Ecuador Debate</w:t>
      </w:r>
      <w:r>
        <w:rPr>
          <w:rFonts w:ascii="Arial" w:eastAsia="Arial" w:hAnsi="Arial" w:cs="Arial"/>
          <w:sz w:val="24"/>
          <w:szCs w:val="24"/>
        </w:rPr>
        <w:t xml:space="preserve"> 75 </w:t>
      </w:r>
      <w:proofErr w:type="spellStart"/>
      <w:r>
        <w:rPr>
          <w:rFonts w:ascii="Arial" w:eastAsia="Arial" w:hAnsi="Arial" w:cs="Arial"/>
          <w:sz w:val="24"/>
          <w:szCs w:val="24"/>
        </w:rPr>
        <w:t>pag</w:t>
      </w:r>
      <w:proofErr w:type="spellEnd"/>
      <w:r>
        <w:rPr>
          <w:rFonts w:ascii="Arial" w:eastAsia="Arial" w:hAnsi="Arial" w:cs="Arial"/>
          <w:sz w:val="24"/>
          <w:szCs w:val="24"/>
        </w:rPr>
        <w:t>. 33- 48. Ecuador.</w:t>
      </w:r>
    </w:p>
    <w:p w14:paraId="00000041"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Chitarroni</w:t>
      </w:r>
      <w:proofErr w:type="spellEnd"/>
      <w:r>
        <w:rPr>
          <w:rFonts w:ascii="Arial" w:eastAsia="Arial" w:hAnsi="Arial" w:cs="Arial"/>
          <w:color w:val="000000"/>
          <w:sz w:val="24"/>
          <w:szCs w:val="24"/>
        </w:rPr>
        <w:t xml:space="preserve">, H y Cimillo, E. (2007) Resurge el sujeto histórico: Cambios en el colectivo de trabajo asalariado 1974-2006). </w:t>
      </w:r>
      <w:r>
        <w:rPr>
          <w:rFonts w:ascii="Arial" w:eastAsia="Arial" w:hAnsi="Arial" w:cs="Arial"/>
          <w:i/>
          <w:color w:val="000000"/>
          <w:sz w:val="24"/>
          <w:szCs w:val="24"/>
        </w:rPr>
        <w:t>Revista laboratorio</w:t>
      </w:r>
      <w:r>
        <w:rPr>
          <w:rFonts w:ascii="Arial" w:eastAsia="Arial" w:hAnsi="Arial" w:cs="Arial"/>
          <w:color w:val="000000"/>
          <w:sz w:val="24"/>
          <w:szCs w:val="24"/>
        </w:rPr>
        <w:t xml:space="preserve"> Año Nº9 Nº21. Buenos Aires: FSOC-</w:t>
      </w:r>
      <w:proofErr w:type="spellStart"/>
      <w:r>
        <w:rPr>
          <w:rFonts w:ascii="Arial" w:eastAsia="Arial" w:hAnsi="Arial" w:cs="Arial"/>
          <w:color w:val="000000"/>
          <w:sz w:val="24"/>
          <w:szCs w:val="24"/>
        </w:rPr>
        <w:t>IIGG.Franco</w:t>
      </w:r>
      <w:proofErr w:type="spellEnd"/>
      <w:r>
        <w:rPr>
          <w:rFonts w:ascii="Arial" w:eastAsia="Arial" w:hAnsi="Arial" w:cs="Arial"/>
          <w:color w:val="000000"/>
          <w:sz w:val="24"/>
          <w:szCs w:val="24"/>
        </w:rPr>
        <w:t>, C. (1994) Ciudadanía plebeya y organizaciones sociales en el Perú (otro camino para “otra” democracia) en G. De la Sierra  (</w:t>
      </w:r>
      <w:proofErr w:type="spellStart"/>
      <w:r>
        <w:rPr>
          <w:rFonts w:ascii="Arial" w:eastAsia="Arial" w:hAnsi="Arial" w:cs="Arial"/>
          <w:color w:val="000000"/>
          <w:sz w:val="24"/>
          <w:szCs w:val="24"/>
        </w:rPr>
        <w:t>comp.</w:t>
      </w:r>
      <w:proofErr w:type="spellEnd"/>
      <w:r>
        <w:rPr>
          <w:rFonts w:ascii="Arial" w:eastAsia="Arial" w:hAnsi="Arial" w:cs="Arial"/>
          <w:color w:val="000000"/>
          <w:sz w:val="24"/>
          <w:szCs w:val="24"/>
        </w:rPr>
        <w:t xml:space="preserve">): </w:t>
      </w:r>
      <w:r>
        <w:rPr>
          <w:rFonts w:ascii="Arial" w:eastAsia="Arial" w:hAnsi="Arial" w:cs="Arial"/>
          <w:i/>
          <w:color w:val="000000"/>
          <w:sz w:val="24"/>
          <w:szCs w:val="24"/>
        </w:rPr>
        <w:t>Democracia emergente en América del Sur</w:t>
      </w:r>
      <w:r>
        <w:rPr>
          <w:rFonts w:ascii="Arial" w:eastAsia="Arial" w:hAnsi="Arial" w:cs="Arial"/>
          <w:color w:val="000000"/>
          <w:sz w:val="24"/>
          <w:szCs w:val="24"/>
        </w:rPr>
        <w:t>. México. CIICH/UNAM. (</w:t>
      </w:r>
      <w:proofErr w:type="gramStart"/>
      <w:r>
        <w:rPr>
          <w:rFonts w:ascii="Arial" w:eastAsia="Arial" w:hAnsi="Arial" w:cs="Arial"/>
          <w:color w:val="000000"/>
          <w:sz w:val="24"/>
          <w:szCs w:val="24"/>
        </w:rPr>
        <w:t>optativa</w:t>
      </w:r>
      <w:proofErr w:type="gramEnd"/>
      <w:r>
        <w:rPr>
          <w:rFonts w:ascii="Arial" w:eastAsia="Arial" w:hAnsi="Arial" w:cs="Arial"/>
          <w:color w:val="000000"/>
          <w:sz w:val="24"/>
          <w:szCs w:val="24"/>
        </w:rPr>
        <w:t>)</w:t>
      </w:r>
    </w:p>
    <w:p w14:paraId="00000042" w14:textId="77777777" w:rsidR="0004315B" w:rsidRDefault="0004315B">
      <w:pPr>
        <w:jc w:val="both"/>
        <w:rPr>
          <w:rFonts w:ascii="Arial" w:eastAsia="Arial" w:hAnsi="Arial" w:cs="Arial"/>
          <w:color w:val="222222"/>
          <w:sz w:val="24"/>
          <w:szCs w:val="24"/>
          <w:highlight w:val="white"/>
        </w:rPr>
      </w:pPr>
    </w:p>
    <w:p w14:paraId="00000043"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Seman</w:t>
      </w:r>
      <w:proofErr w:type="spellEnd"/>
      <w:r>
        <w:rPr>
          <w:rFonts w:ascii="Arial" w:eastAsia="Arial" w:hAnsi="Arial" w:cs="Arial"/>
          <w:color w:val="000000"/>
          <w:sz w:val="24"/>
          <w:szCs w:val="24"/>
        </w:rPr>
        <w:t xml:space="preserve">, P. y </w:t>
      </w:r>
      <w:proofErr w:type="spellStart"/>
      <w:r>
        <w:rPr>
          <w:rFonts w:ascii="Arial" w:eastAsia="Arial" w:hAnsi="Arial" w:cs="Arial"/>
          <w:color w:val="000000"/>
          <w:sz w:val="24"/>
          <w:szCs w:val="24"/>
        </w:rPr>
        <w:t>Ferraudi</w:t>
      </w:r>
      <w:proofErr w:type="spellEnd"/>
      <w:r>
        <w:rPr>
          <w:rFonts w:ascii="Arial" w:eastAsia="Arial" w:hAnsi="Arial" w:cs="Arial"/>
          <w:color w:val="000000"/>
          <w:sz w:val="24"/>
          <w:szCs w:val="24"/>
        </w:rPr>
        <w:t xml:space="preserve"> Curto, C</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2016).  Los sectores populares en </w:t>
      </w:r>
      <w:proofErr w:type="spellStart"/>
      <w:r>
        <w:rPr>
          <w:rFonts w:ascii="Arial" w:eastAsia="Arial" w:hAnsi="Arial" w:cs="Arial"/>
          <w:color w:val="000000"/>
          <w:sz w:val="24"/>
          <w:szCs w:val="24"/>
        </w:rPr>
        <w:t>Kessler</w:t>
      </w:r>
      <w:proofErr w:type="spellEnd"/>
      <w:r>
        <w:rPr>
          <w:rFonts w:ascii="Arial" w:eastAsia="Arial" w:hAnsi="Arial" w:cs="Arial"/>
          <w:color w:val="000000"/>
          <w:sz w:val="24"/>
          <w:szCs w:val="24"/>
        </w:rPr>
        <w:t>, G. La sociedad argentina hoy: radiografía de una nueva estructura.</w:t>
      </w:r>
      <w:r>
        <w:rPr>
          <w:rFonts w:ascii="Times New Roman" w:eastAsia="Times New Roman" w:hAnsi="Times New Roman" w:cs="Times New Roman"/>
          <w:color w:val="000000"/>
          <w:sz w:val="24"/>
          <w:szCs w:val="24"/>
        </w:rPr>
        <w:t> </w:t>
      </w:r>
      <w:r>
        <w:rPr>
          <w:rFonts w:ascii="Arial" w:eastAsia="Arial" w:hAnsi="Arial" w:cs="Arial"/>
          <w:color w:val="000000"/>
          <w:sz w:val="24"/>
          <w:szCs w:val="24"/>
        </w:rPr>
        <w:t xml:space="preserve">Buenos Aires, Siglo Veintiuno. </w:t>
      </w:r>
    </w:p>
    <w:p w14:paraId="00000044"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45"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Sommers</w:t>
      </w:r>
      <w:proofErr w:type="spellEnd"/>
      <w:r>
        <w:rPr>
          <w:rFonts w:ascii="Arial" w:eastAsia="Arial" w:hAnsi="Arial" w:cs="Arial"/>
          <w:color w:val="000000"/>
          <w:sz w:val="24"/>
          <w:szCs w:val="24"/>
        </w:rPr>
        <w:t xml:space="preserve">, M (1996/97) “Narrando y naturalizando la sociedad civil y la teoría de la ciudadanía: El lugar de la cultura política y de la esfera pública”. Zona Abierta, Cultura política, N° 77/78, Madrid, 1996/97. </w:t>
      </w:r>
      <w:proofErr w:type="spellStart"/>
      <w:proofErr w:type="gramStart"/>
      <w:r>
        <w:rPr>
          <w:rFonts w:ascii="Arial" w:eastAsia="Arial" w:hAnsi="Arial" w:cs="Arial"/>
          <w:color w:val="000000"/>
          <w:sz w:val="24"/>
          <w:szCs w:val="24"/>
        </w:rPr>
        <w:t>pp</w:t>
      </w:r>
      <w:proofErr w:type="spellEnd"/>
      <w:proofErr w:type="gramEnd"/>
      <w:r>
        <w:rPr>
          <w:rFonts w:ascii="Arial" w:eastAsia="Arial" w:hAnsi="Arial" w:cs="Arial"/>
          <w:color w:val="000000"/>
          <w:sz w:val="24"/>
          <w:szCs w:val="24"/>
        </w:rPr>
        <w:t xml:space="preserve"> 255-337.  </w:t>
      </w:r>
    </w:p>
    <w:p w14:paraId="00000046" w14:textId="77777777" w:rsidR="0004315B" w:rsidRDefault="0004315B">
      <w:pPr>
        <w:pBdr>
          <w:top w:val="nil"/>
          <w:left w:val="nil"/>
          <w:bottom w:val="nil"/>
          <w:right w:val="nil"/>
          <w:between w:val="nil"/>
        </w:pBdr>
        <w:spacing w:after="0" w:line="240" w:lineRule="auto"/>
        <w:rPr>
          <w:rFonts w:ascii="Arial" w:eastAsia="Arial" w:hAnsi="Arial" w:cs="Arial"/>
          <w:color w:val="000000"/>
          <w:sz w:val="24"/>
          <w:szCs w:val="24"/>
        </w:rPr>
      </w:pPr>
    </w:p>
    <w:p w14:paraId="00000047" w14:textId="77777777" w:rsidR="0004315B" w:rsidRDefault="0099301F">
      <w:pPr>
        <w:spacing w:line="240" w:lineRule="auto"/>
        <w:jc w:val="both"/>
        <w:rPr>
          <w:rFonts w:ascii="Arial" w:eastAsia="Arial" w:hAnsi="Arial" w:cs="Arial"/>
          <w:sz w:val="24"/>
          <w:szCs w:val="24"/>
        </w:rPr>
      </w:pPr>
      <w:proofErr w:type="spellStart"/>
      <w:r>
        <w:rPr>
          <w:rFonts w:ascii="Arial" w:eastAsia="Arial" w:hAnsi="Arial" w:cs="Arial"/>
          <w:sz w:val="24"/>
          <w:szCs w:val="24"/>
        </w:rPr>
        <w:t>Svampa</w:t>
      </w:r>
      <w:proofErr w:type="spellEnd"/>
      <w:r>
        <w:rPr>
          <w:rFonts w:ascii="Arial" w:eastAsia="Arial" w:hAnsi="Arial" w:cs="Arial"/>
          <w:sz w:val="24"/>
          <w:szCs w:val="24"/>
        </w:rPr>
        <w:t xml:space="preserve">, M. (2004) Disertación para la apertura del Seminario los nuevos rostros de la marginalidad Publicado en </w:t>
      </w:r>
      <w:proofErr w:type="spellStart"/>
      <w:r>
        <w:rPr>
          <w:rFonts w:ascii="Arial" w:eastAsia="Arial" w:hAnsi="Arial" w:cs="Arial"/>
          <w:i/>
          <w:sz w:val="24"/>
          <w:szCs w:val="24"/>
        </w:rPr>
        <w:t>Lavboratorio</w:t>
      </w:r>
      <w:proofErr w:type="spellEnd"/>
      <w:r>
        <w:rPr>
          <w:rFonts w:ascii="Arial" w:eastAsia="Arial" w:hAnsi="Arial" w:cs="Arial"/>
          <w:i/>
          <w:sz w:val="24"/>
          <w:szCs w:val="24"/>
        </w:rPr>
        <w:t>/</w:t>
      </w:r>
      <w:proofErr w:type="spellStart"/>
      <w:r>
        <w:rPr>
          <w:rFonts w:ascii="Arial" w:eastAsia="Arial" w:hAnsi="Arial" w:cs="Arial"/>
          <w:i/>
          <w:sz w:val="24"/>
          <w:szCs w:val="24"/>
        </w:rPr>
        <w:t>on</w:t>
      </w:r>
      <w:proofErr w:type="spellEnd"/>
      <w:r>
        <w:rPr>
          <w:rFonts w:ascii="Arial" w:eastAsia="Arial" w:hAnsi="Arial" w:cs="Arial"/>
          <w:i/>
          <w:sz w:val="24"/>
          <w:szCs w:val="24"/>
        </w:rPr>
        <w:t xml:space="preserve"> line, Revista de estudios sobre cambio social, año IV, número 15, primavera 2004</w:t>
      </w:r>
      <w:r>
        <w:rPr>
          <w:rFonts w:ascii="Arial" w:eastAsia="Arial" w:hAnsi="Arial" w:cs="Arial"/>
          <w:sz w:val="24"/>
          <w:szCs w:val="24"/>
        </w:rPr>
        <w:t xml:space="preserve">. Buenos Aires. Instituto G. </w:t>
      </w:r>
      <w:proofErr w:type="spellStart"/>
      <w:r>
        <w:rPr>
          <w:rFonts w:ascii="Arial" w:eastAsia="Arial" w:hAnsi="Arial" w:cs="Arial"/>
          <w:sz w:val="24"/>
          <w:szCs w:val="24"/>
        </w:rPr>
        <w:t>Germani</w:t>
      </w:r>
      <w:proofErr w:type="spellEnd"/>
      <w:r>
        <w:rPr>
          <w:rFonts w:ascii="Arial" w:eastAsia="Arial" w:hAnsi="Arial" w:cs="Arial"/>
          <w:sz w:val="24"/>
          <w:szCs w:val="24"/>
        </w:rPr>
        <w:t>. Facultad de Ciencias Sociales. Universidad de Buenos Aires.</w:t>
      </w:r>
    </w:p>
    <w:p w14:paraId="00000048" w14:textId="77777777" w:rsidR="0004315B" w:rsidRDefault="0004315B">
      <w:pPr>
        <w:pBdr>
          <w:top w:val="nil"/>
          <w:left w:val="nil"/>
          <w:bottom w:val="nil"/>
          <w:right w:val="nil"/>
          <w:between w:val="nil"/>
        </w:pBdr>
        <w:spacing w:after="0" w:line="240" w:lineRule="auto"/>
        <w:rPr>
          <w:rFonts w:ascii="Arial" w:eastAsia="Arial" w:hAnsi="Arial" w:cs="Arial"/>
          <w:color w:val="000000"/>
          <w:sz w:val="24"/>
          <w:szCs w:val="24"/>
        </w:rPr>
      </w:pPr>
    </w:p>
    <w:p w14:paraId="00000049" w14:textId="77777777" w:rsidR="0004315B" w:rsidRDefault="0004315B">
      <w:pPr>
        <w:jc w:val="both"/>
        <w:rPr>
          <w:rFonts w:ascii="Arial" w:eastAsia="Arial" w:hAnsi="Arial" w:cs="Arial"/>
          <w:sz w:val="24"/>
          <w:szCs w:val="24"/>
        </w:rPr>
      </w:pPr>
    </w:p>
    <w:p w14:paraId="0000004A" w14:textId="77777777" w:rsidR="0004315B" w:rsidRDefault="0099301F">
      <w:pPr>
        <w:numPr>
          <w:ilvl w:val="0"/>
          <w:numId w:val="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La agenda estatal. El tema de la capacidad estatal y </w:t>
      </w:r>
      <w:proofErr w:type="spellStart"/>
      <w:r>
        <w:rPr>
          <w:rFonts w:ascii="Arial" w:eastAsia="Arial" w:hAnsi="Arial" w:cs="Arial"/>
          <w:b/>
          <w:color w:val="000000"/>
          <w:sz w:val="24"/>
          <w:szCs w:val="24"/>
        </w:rPr>
        <w:t>lacrisis</w:t>
      </w:r>
      <w:proofErr w:type="spellEnd"/>
      <w:r>
        <w:rPr>
          <w:rFonts w:ascii="Arial" w:eastAsia="Arial" w:hAnsi="Arial" w:cs="Arial"/>
          <w:b/>
          <w:color w:val="000000"/>
          <w:sz w:val="24"/>
          <w:szCs w:val="24"/>
        </w:rPr>
        <w:t xml:space="preserve"> de las instituciones. ¿Fin del fin de estado?, o ¿Volviendo al Estado mínimo? Nuevas tendencias en la definición del estado en las políticas sociales.</w:t>
      </w:r>
    </w:p>
    <w:p w14:paraId="0000004B" w14:textId="77777777" w:rsidR="0004315B" w:rsidRDefault="0004315B">
      <w:pPr>
        <w:jc w:val="both"/>
        <w:rPr>
          <w:rFonts w:ascii="Arial" w:eastAsia="Arial" w:hAnsi="Arial" w:cs="Arial"/>
          <w:sz w:val="24"/>
          <w:szCs w:val="24"/>
        </w:rPr>
      </w:pPr>
    </w:p>
    <w:p w14:paraId="0000004C" w14:textId="77777777" w:rsidR="0004315B" w:rsidRDefault="0099301F">
      <w:pPr>
        <w:jc w:val="both"/>
        <w:rPr>
          <w:rFonts w:ascii="Arial" w:eastAsia="Arial" w:hAnsi="Arial" w:cs="Arial"/>
          <w:sz w:val="24"/>
          <w:szCs w:val="24"/>
        </w:rPr>
      </w:pPr>
      <w:r>
        <w:rPr>
          <w:rFonts w:ascii="Arial" w:eastAsia="Arial" w:hAnsi="Arial" w:cs="Arial"/>
          <w:b/>
          <w:sz w:val="24"/>
          <w:szCs w:val="24"/>
        </w:rPr>
        <w:t>Bibliografía obligatoria</w:t>
      </w:r>
      <w:r>
        <w:rPr>
          <w:rFonts w:ascii="Arial" w:eastAsia="Arial" w:hAnsi="Arial" w:cs="Arial"/>
          <w:sz w:val="24"/>
          <w:szCs w:val="24"/>
        </w:rPr>
        <w:t>:</w:t>
      </w:r>
    </w:p>
    <w:p w14:paraId="0000004D" w14:textId="77777777" w:rsidR="0004315B" w:rsidRDefault="0099301F">
      <w:pPr>
        <w:spacing w:line="240" w:lineRule="auto"/>
        <w:jc w:val="both"/>
        <w:rPr>
          <w:rFonts w:ascii="Arial" w:eastAsia="Arial" w:hAnsi="Arial" w:cs="Arial"/>
          <w:sz w:val="24"/>
          <w:szCs w:val="24"/>
        </w:rPr>
      </w:pPr>
      <w:proofErr w:type="spellStart"/>
      <w:r>
        <w:rPr>
          <w:rFonts w:ascii="Arial" w:eastAsia="Arial" w:hAnsi="Arial" w:cs="Arial"/>
          <w:sz w:val="24"/>
          <w:szCs w:val="24"/>
        </w:rPr>
        <w:t>Dubet</w:t>
      </w:r>
      <w:proofErr w:type="spellEnd"/>
      <w:r>
        <w:rPr>
          <w:rFonts w:ascii="Arial" w:eastAsia="Arial" w:hAnsi="Arial" w:cs="Arial"/>
          <w:sz w:val="24"/>
          <w:szCs w:val="24"/>
        </w:rPr>
        <w:t xml:space="preserve"> F. (2004). ¿Mutaciones institucionales y/o neoliberalismo? En: </w:t>
      </w:r>
      <w:proofErr w:type="spellStart"/>
      <w:r>
        <w:rPr>
          <w:rFonts w:ascii="Arial" w:eastAsia="Arial" w:hAnsi="Arial" w:cs="Arial"/>
          <w:sz w:val="24"/>
          <w:szCs w:val="24"/>
        </w:rPr>
        <w:t>Tenti</w:t>
      </w:r>
      <w:proofErr w:type="spellEnd"/>
      <w:r>
        <w:rPr>
          <w:rFonts w:ascii="Arial" w:eastAsia="Arial" w:hAnsi="Arial" w:cs="Arial"/>
          <w:sz w:val="24"/>
          <w:szCs w:val="24"/>
        </w:rPr>
        <w:t xml:space="preserve"> </w:t>
      </w:r>
      <w:proofErr w:type="spellStart"/>
      <w:r>
        <w:rPr>
          <w:rFonts w:ascii="Arial" w:eastAsia="Arial" w:hAnsi="Arial" w:cs="Arial"/>
          <w:sz w:val="24"/>
          <w:szCs w:val="24"/>
        </w:rPr>
        <w:t>Fanfani</w:t>
      </w:r>
      <w:proofErr w:type="spellEnd"/>
      <w:r>
        <w:rPr>
          <w:rFonts w:ascii="Arial" w:eastAsia="Arial" w:hAnsi="Arial" w:cs="Arial"/>
          <w:sz w:val="24"/>
          <w:szCs w:val="24"/>
        </w:rPr>
        <w:t xml:space="preserve"> E. (</w:t>
      </w:r>
      <w:proofErr w:type="spellStart"/>
      <w:r>
        <w:rPr>
          <w:rFonts w:ascii="Arial" w:eastAsia="Arial" w:hAnsi="Arial" w:cs="Arial"/>
          <w:sz w:val="24"/>
          <w:szCs w:val="24"/>
        </w:rPr>
        <w:t>org</w:t>
      </w:r>
      <w:proofErr w:type="spellEnd"/>
      <w:r>
        <w:rPr>
          <w:rFonts w:ascii="Arial" w:eastAsia="Arial" w:hAnsi="Arial" w:cs="Arial"/>
          <w:sz w:val="24"/>
          <w:szCs w:val="24"/>
        </w:rPr>
        <w:t xml:space="preserve">.); </w:t>
      </w:r>
      <w:r>
        <w:rPr>
          <w:rFonts w:ascii="Arial" w:eastAsia="Arial" w:hAnsi="Arial" w:cs="Arial"/>
          <w:i/>
          <w:sz w:val="24"/>
          <w:szCs w:val="24"/>
        </w:rPr>
        <w:t>Gobernabilidad de los sistemas educativos en América Latina</w:t>
      </w:r>
      <w:r>
        <w:rPr>
          <w:rFonts w:ascii="Arial" w:eastAsia="Arial" w:hAnsi="Arial" w:cs="Arial"/>
          <w:sz w:val="24"/>
          <w:szCs w:val="24"/>
        </w:rPr>
        <w:t>. Buenos Aires: IIPE/UNESCO.</w:t>
      </w:r>
    </w:p>
    <w:p w14:paraId="0000004E" w14:textId="77777777" w:rsidR="0004315B" w:rsidRDefault="0099301F">
      <w:pPr>
        <w:spacing w:line="240" w:lineRule="auto"/>
        <w:jc w:val="both"/>
        <w:rPr>
          <w:rFonts w:ascii="Arial" w:eastAsia="Arial" w:hAnsi="Arial" w:cs="Arial"/>
          <w:sz w:val="24"/>
          <w:szCs w:val="24"/>
        </w:rPr>
      </w:pPr>
      <w:proofErr w:type="spellStart"/>
      <w:r>
        <w:rPr>
          <w:rFonts w:ascii="Arial" w:eastAsia="Arial" w:hAnsi="Arial" w:cs="Arial"/>
          <w:sz w:val="24"/>
          <w:szCs w:val="24"/>
        </w:rPr>
        <w:t>Fernandez</w:t>
      </w:r>
      <w:proofErr w:type="spellEnd"/>
      <w:r>
        <w:rPr>
          <w:rFonts w:ascii="Arial" w:eastAsia="Arial" w:hAnsi="Arial" w:cs="Arial"/>
          <w:sz w:val="24"/>
          <w:szCs w:val="24"/>
        </w:rPr>
        <w:t xml:space="preserve">, A.  (1999) Las instituciones estalladas. Buenos Aires. </w:t>
      </w:r>
      <w:proofErr w:type="spellStart"/>
      <w:r>
        <w:rPr>
          <w:rFonts w:ascii="Arial" w:eastAsia="Arial" w:hAnsi="Arial" w:cs="Arial"/>
          <w:sz w:val="24"/>
          <w:szCs w:val="24"/>
        </w:rPr>
        <w:t>Eudeba</w:t>
      </w:r>
      <w:proofErr w:type="spellEnd"/>
      <w:r>
        <w:rPr>
          <w:rFonts w:ascii="Arial" w:eastAsia="Arial" w:hAnsi="Arial" w:cs="Arial"/>
          <w:sz w:val="24"/>
          <w:szCs w:val="24"/>
        </w:rPr>
        <w:t>.</w:t>
      </w:r>
    </w:p>
    <w:p w14:paraId="0000004F" w14:textId="77777777" w:rsidR="0004315B" w:rsidRDefault="0099301F">
      <w:pPr>
        <w:spacing w:line="240" w:lineRule="auto"/>
        <w:jc w:val="both"/>
        <w:rPr>
          <w:rFonts w:ascii="Arial" w:eastAsia="Arial" w:hAnsi="Arial" w:cs="Arial"/>
          <w:sz w:val="24"/>
          <w:szCs w:val="24"/>
        </w:rPr>
      </w:pPr>
      <w:r>
        <w:rPr>
          <w:rFonts w:ascii="Arial" w:eastAsia="Arial" w:hAnsi="Arial" w:cs="Arial"/>
          <w:sz w:val="24"/>
          <w:szCs w:val="24"/>
        </w:rPr>
        <w:t>García Linera, A. (2010) La construcción del Estado. Tres pensamientos políticos: conferencias organizadas por las Facultades de Ciencias Sociales y de Filosofía y Letras de la UBA. Buenos Aires: Universidad de Buenos Aires, Facultad de Ciencias Sociales.</w:t>
      </w:r>
    </w:p>
    <w:p w14:paraId="00000050" w14:textId="77777777" w:rsidR="0004315B" w:rsidRDefault="0099301F">
      <w:pPr>
        <w:spacing w:line="240" w:lineRule="auto"/>
        <w:jc w:val="both"/>
        <w:rPr>
          <w:rFonts w:ascii="Arial" w:eastAsia="Arial" w:hAnsi="Arial" w:cs="Arial"/>
          <w:sz w:val="24"/>
          <w:szCs w:val="24"/>
        </w:rPr>
      </w:pPr>
      <w:proofErr w:type="spellStart"/>
      <w:r>
        <w:rPr>
          <w:rFonts w:ascii="Arial" w:eastAsia="Arial" w:hAnsi="Arial" w:cs="Arial"/>
          <w:sz w:val="24"/>
          <w:szCs w:val="24"/>
        </w:rPr>
        <w:t>Guimenez</w:t>
      </w:r>
      <w:proofErr w:type="spellEnd"/>
      <w:r>
        <w:rPr>
          <w:rFonts w:ascii="Arial" w:eastAsia="Arial" w:hAnsi="Arial" w:cs="Arial"/>
          <w:sz w:val="24"/>
          <w:szCs w:val="24"/>
        </w:rPr>
        <w:t xml:space="preserve">, S. (2018) Repensando las capacidades estatales en el período 2003-2015. Un camino intermedio entre la </w:t>
      </w:r>
      <w:proofErr w:type="spellStart"/>
      <w:r>
        <w:rPr>
          <w:rFonts w:ascii="Arial" w:eastAsia="Arial" w:hAnsi="Arial" w:cs="Arial"/>
          <w:sz w:val="24"/>
          <w:szCs w:val="24"/>
        </w:rPr>
        <w:t>autoconvicción</w:t>
      </w:r>
      <w:proofErr w:type="spellEnd"/>
      <w:r>
        <w:rPr>
          <w:rFonts w:ascii="Arial" w:eastAsia="Arial" w:hAnsi="Arial" w:cs="Arial"/>
          <w:sz w:val="24"/>
          <w:szCs w:val="24"/>
        </w:rPr>
        <w:t xml:space="preserve"> y la inercia burocrática, en I Jornadas sobre Democracia y Desigualdades. Universidad Nacional de José C. Paz</w:t>
      </w:r>
    </w:p>
    <w:p w14:paraId="00000051" w14:textId="77777777" w:rsidR="0004315B" w:rsidRDefault="0099301F">
      <w:pPr>
        <w:spacing w:line="240" w:lineRule="auto"/>
        <w:jc w:val="both"/>
        <w:rPr>
          <w:rFonts w:ascii="Arial" w:eastAsia="Arial" w:hAnsi="Arial" w:cs="Arial"/>
          <w:sz w:val="24"/>
          <w:szCs w:val="24"/>
        </w:rPr>
      </w:pPr>
      <w:proofErr w:type="spellStart"/>
      <w:r>
        <w:rPr>
          <w:rFonts w:ascii="Arial" w:eastAsia="Arial" w:hAnsi="Arial" w:cs="Arial"/>
          <w:sz w:val="24"/>
          <w:szCs w:val="24"/>
        </w:rPr>
        <w:t>Levin</w:t>
      </w:r>
      <w:proofErr w:type="spellEnd"/>
      <w:r>
        <w:rPr>
          <w:rFonts w:ascii="Arial" w:eastAsia="Arial" w:hAnsi="Arial" w:cs="Arial"/>
          <w:sz w:val="24"/>
          <w:szCs w:val="24"/>
        </w:rPr>
        <w:t>, Silvia (2013) El género en las políticas públicas: ¿Una opción o una obligación</w:t>
      </w:r>
      <w:proofErr w:type="gramStart"/>
      <w:r>
        <w:rPr>
          <w:rFonts w:ascii="Arial" w:eastAsia="Arial" w:hAnsi="Arial" w:cs="Arial"/>
          <w:sz w:val="24"/>
          <w:szCs w:val="24"/>
        </w:rPr>
        <w:t>?.</w:t>
      </w:r>
      <w:proofErr w:type="gramEnd"/>
      <w:r>
        <w:rPr>
          <w:rFonts w:ascii="Arial" w:eastAsia="Arial" w:hAnsi="Arial" w:cs="Arial"/>
          <w:sz w:val="24"/>
          <w:szCs w:val="24"/>
        </w:rPr>
        <w:t xml:space="preserve"> En Revista Cátedra Paralela, Nº10</w:t>
      </w:r>
    </w:p>
    <w:p w14:paraId="00000052" w14:textId="77777777" w:rsidR="0004315B" w:rsidRDefault="0004315B">
      <w:pPr>
        <w:jc w:val="both"/>
        <w:rPr>
          <w:rFonts w:ascii="Arial" w:eastAsia="Arial" w:hAnsi="Arial" w:cs="Arial"/>
          <w:color w:val="1B1C20"/>
          <w:sz w:val="24"/>
          <w:szCs w:val="24"/>
          <w:u w:val="single"/>
        </w:rPr>
      </w:pPr>
    </w:p>
    <w:p w14:paraId="00000053" w14:textId="77777777" w:rsidR="0004315B" w:rsidRDefault="0099301F">
      <w:pPr>
        <w:spacing w:line="240" w:lineRule="auto"/>
        <w:jc w:val="both"/>
        <w:rPr>
          <w:rFonts w:ascii="Arial" w:eastAsia="Arial" w:hAnsi="Arial" w:cs="Arial"/>
          <w:sz w:val="24"/>
          <w:szCs w:val="24"/>
        </w:rPr>
      </w:pPr>
      <w:r>
        <w:rPr>
          <w:rFonts w:ascii="Arial" w:eastAsia="Arial" w:hAnsi="Arial" w:cs="Arial"/>
          <w:sz w:val="24"/>
          <w:szCs w:val="24"/>
        </w:rPr>
        <w:t>Bibliografía optativa</w:t>
      </w:r>
    </w:p>
    <w:p w14:paraId="00000054" w14:textId="77777777" w:rsidR="0004315B" w:rsidRDefault="0099301F">
      <w:pPr>
        <w:spacing w:line="240" w:lineRule="auto"/>
        <w:jc w:val="both"/>
        <w:rPr>
          <w:rFonts w:ascii="Arial" w:eastAsia="Arial" w:hAnsi="Arial" w:cs="Arial"/>
          <w:sz w:val="24"/>
          <w:szCs w:val="24"/>
        </w:rPr>
      </w:pPr>
      <w:r>
        <w:rPr>
          <w:rFonts w:ascii="Arial" w:eastAsia="Arial" w:hAnsi="Arial" w:cs="Arial"/>
          <w:sz w:val="24"/>
          <w:szCs w:val="24"/>
        </w:rPr>
        <w:t xml:space="preserve">De Souza Santos, B (2010) La refundación del Estado y las epistemologías del Sur. Buenos Aires: Editorial Antropofagia. </w:t>
      </w:r>
    </w:p>
    <w:p w14:paraId="00000055" w14:textId="77777777" w:rsidR="0004315B" w:rsidRDefault="0099301F">
      <w:pPr>
        <w:spacing w:after="0" w:line="240" w:lineRule="auto"/>
        <w:jc w:val="both"/>
        <w:rPr>
          <w:rFonts w:ascii="Arial" w:eastAsia="Arial" w:hAnsi="Arial" w:cs="Arial"/>
          <w:sz w:val="24"/>
          <w:szCs w:val="24"/>
        </w:rPr>
      </w:pPr>
      <w:proofErr w:type="spellStart"/>
      <w:r>
        <w:rPr>
          <w:rFonts w:ascii="Arial" w:eastAsia="Arial" w:hAnsi="Arial" w:cs="Arial"/>
          <w:sz w:val="24"/>
          <w:szCs w:val="24"/>
        </w:rPr>
        <w:lastRenderedPageBreak/>
        <w:t>Guimenez</w:t>
      </w:r>
      <w:proofErr w:type="spellEnd"/>
      <w:r>
        <w:rPr>
          <w:rFonts w:ascii="Arial" w:eastAsia="Arial" w:hAnsi="Arial" w:cs="Arial"/>
          <w:sz w:val="24"/>
          <w:szCs w:val="24"/>
        </w:rPr>
        <w:t xml:space="preserve">, S. (2013) Reforzar las capacidades estatales, en </w:t>
      </w:r>
      <w:r>
        <w:rPr>
          <w:rFonts w:ascii="Arial" w:eastAsia="Arial" w:hAnsi="Arial" w:cs="Arial"/>
          <w:i/>
          <w:sz w:val="24"/>
          <w:szCs w:val="24"/>
        </w:rPr>
        <w:t>Página 12.</w:t>
      </w:r>
      <w:r>
        <w:rPr>
          <w:rFonts w:ascii="Arial" w:eastAsia="Arial" w:hAnsi="Arial" w:cs="Arial"/>
          <w:sz w:val="24"/>
          <w:szCs w:val="24"/>
        </w:rPr>
        <w:t xml:space="preserve"> Buenos Aires. 27 de diciembre de 2013. Disponible en </w:t>
      </w:r>
      <w:hyperlink r:id="rId6">
        <w:r>
          <w:rPr>
            <w:rFonts w:ascii="Arial" w:eastAsia="Arial" w:hAnsi="Arial" w:cs="Arial"/>
            <w:color w:val="0000FF"/>
            <w:sz w:val="24"/>
            <w:szCs w:val="24"/>
            <w:u w:val="single"/>
          </w:rPr>
          <w:t>http://www.pagina12.com.ar/diario/elpais/1-236526-2013-12-27.html</w:t>
        </w:r>
      </w:hyperlink>
    </w:p>
    <w:p w14:paraId="00000056" w14:textId="77777777" w:rsidR="0004315B" w:rsidRDefault="0004315B">
      <w:pPr>
        <w:spacing w:after="0" w:line="240" w:lineRule="auto"/>
        <w:jc w:val="both"/>
        <w:rPr>
          <w:rFonts w:ascii="Arial" w:eastAsia="Arial" w:hAnsi="Arial" w:cs="Arial"/>
          <w:sz w:val="24"/>
          <w:szCs w:val="24"/>
        </w:rPr>
      </w:pPr>
    </w:p>
    <w:p w14:paraId="00000057"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Guimenez</w:t>
      </w:r>
      <w:proofErr w:type="spellEnd"/>
      <w:r>
        <w:rPr>
          <w:rFonts w:ascii="Arial" w:eastAsia="Arial" w:hAnsi="Arial" w:cs="Arial"/>
          <w:color w:val="000000"/>
          <w:sz w:val="24"/>
          <w:szCs w:val="24"/>
        </w:rPr>
        <w:t xml:space="preserve">, Sandra (2009): “La reconfiguración del espacio laboral en el Estado. Crónica de una precariedad anunciada” en GRASSI, Estela y DANANI, Claudia (2009): </w:t>
      </w:r>
      <w:r>
        <w:rPr>
          <w:rFonts w:ascii="Arial" w:eastAsia="Arial" w:hAnsi="Arial" w:cs="Arial"/>
          <w:i/>
          <w:color w:val="000000"/>
          <w:sz w:val="24"/>
          <w:szCs w:val="24"/>
        </w:rPr>
        <w:t>El mundo del trabajo y los caminos de la vida</w:t>
      </w:r>
      <w:r>
        <w:rPr>
          <w:rFonts w:ascii="Arial" w:eastAsia="Arial" w:hAnsi="Arial" w:cs="Arial"/>
          <w:color w:val="000000"/>
          <w:sz w:val="24"/>
          <w:szCs w:val="24"/>
        </w:rPr>
        <w:t xml:space="preserve">. </w:t>
      </w:r>
      <w:r>
        <w:rPr>
          <w:rFonts w:ascii="Arial" w:eastAsia="Arial" w:hAnsi="Arial" w:cs="Arial"/>
          <w:i/>
          <w:color w:val="000000"/>
          <w:sz w:val="24"/>
          <w:szCs w:val="24"/>
        </w:rPr>
        <w:t>Trabajar para vivir; vivir para trabajar</w:t>
      </w:r>
      <w:r>
        <w:rPr>
          <w:rFonts w:ascii="Arial" w:eastAsia="Arial" w:hAnsi="Arial" w:cs="Arial"/>
          <w:color w:val="000000"/>
          <w:sz w:val="24"/>
          <w:szCs w:val="24"/>
        </w:rPr>
        <w:t xml:space="preserve">. Editorial Espacio, Buenos Aires. </w:t>
      </w:r>
    </w:p>
    <w:p w14:paraId="00000058" w14:textId="77777777" w:rsidR="0004315B" w:rsidRDefault="0004315B">
      <w:pPr>
        <w:spacing w:after="0" w:line="240" w:lineRule="auto"/>
        <w:jc w:val="both"/>
        <w:rPr>
          <w:rFonts w:ascii="Arial" w:eastAsia="Arial" w:hAnsi="Arial" w:cs="Arial"/>
          <w:color w:val="1B1C20"/>
          <w:sz w:val="24"/>
          <w:szCs w:val="24"/>
        </w:rPr>
      </w:pPr>
    </w:p>
    <w:p w14:paraId="00000059"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 xml:space="preserve">López, Andrea (2005): “Los fundamentos de la Nueva Gestión Pública: lógica privada y poder tecnocrático en el Estado mínimo”, en THWAITES REY, Mabel, LÓPEZ, Andrea, </w:t>
      </w:r>
      <w:r>
        <w:rPr>
          <w:rFonts w:ascii="Arial" w:eastAsia="Arial" w:hAnsi="Arial" w:cs="Arial"/>
          <w:i/>
          <w:sz w:val="24"/>
          <w:szCs w:val="24"/>
        </w:rPr>
        <w:t>Entre tecnócratas globalizados y políticos clientelistas. Derrotero del ajuste neoliberal en el Estado argentino</w:t>
      </w:r>
      <w:r>
        <w:rPr>
          <w:rFonts w:ascii="Arial" w:eastAsia="Arial" w:hAnsi="Arial" w:cs="Arial"/>
          <w:sz w:val="24"/>
          <w:szCs w:val="24"/>
        </w:rPr>
        <w:t>. Prometeo Libros, Buenos Aires.</w:t>
      </w:r>
    </w:p>
    <w:p w14:paraId="0000005A"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Signorelli</w:t>
      </w:r>
      <w:proofErr w:type="spellEnd"/>
      <w:r>
        <w:rPr>
          <w:rFonts w:ascii="Arial" w:eastAsia="Arial" w:hAnsi="Arial" w:cs="Arial"/>
          <w:color w:val="000000"/>
          <w:sz w:val="24"/>
          <w:szCs w:val="24"/>
        </w:rPr>
        <w:t>, Amalia (2004): “Antropología de la ventanilla. La atención en oficinas y la crisis de la relación público-privado” en Alteridades, 6 (11), Italia.</w:t>
      </w:r>
    </w:p>
    <w:p w14:paraId="0000005B"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5C"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Thwaites</w:t>
      </w:r>
      <w:proofErr w:type="spellEnd"/>
      <w:r>
        <w:rPr>
          <w:rFonts w:ascii="Arial" w:eastAsia="Arial" w:hAnsi="Arial" w:cs="Arial"/>
          <w:color w:val="000000"/>
          <w:sz w:val="24"/>
          <w:szCs w:val="24"/>
        </w:rPr>
        <w:t xml:space="preserve"> Rey, M. y </w:t>
      </w:r>
      <w:proofErr w:type="spellStart"/>
      <w:r>
        <w:rPr>
          <w:rFonts w:ascii="Arial" w:eastAsia="Arial" w:hAnsi="Arial" w:cs="Arial"/>
          <w:color w:val="000000"/>
          <w:sz w:val="24"/>
          <w:szCs w:val="24"/>
        </w:rPr>
        <w:t>Lopez</w:t>
      </w:r>
      <w:proofErr w:type="spellEnd"/>
      <w:r>
        <w:rPr>
          <w:rFonts w:ascii="Arial" w:eastAsia="Arial" w:hAnsi="Arial" w:cs="Arial"/>
          <w:color w:val="000000"/>
          <w:sz w:val="24"/>
          <w:szCs w:val="24"/>
        </w:rPr>
        <w:t xml:space="preserve">, A. (2005) </w:t>
      </w:r>
      <w:r>
        <w:rPr>
          <w:rFonts w:ascii="Arial" w:eastAsia="Arial" w:hAnsi="Arial" w:cs="Arial"/>
          <w:i/>
          <w:color w:val="000000"/>
          <w:sz w:val="24"/>
          <w:szCs w:val="24"/>
        </w:rPr>
        <w:t>Entre tecnócratas globalizados y políticos clientelistas. Derrotero del ajuste neoliberal en el Estado Argentino,</w:t>
      </w:r>
      <w:r>
        <w:rPr>
          <w:rFonts w:ascii="Arial" w:eastAsia="Arial" w:hAnsi="Arial" w:cs="Arial"/>
          <w:color w:val="000000"/>
          <w:sz w:val="24"/>
          <w:szCs w:val="24"/>
        </w:rPr>
        <w:t xml:space="preserve"> Buenos Aires. Prometeo.</w:t>
      </w:r>
    </w:p>
    <w:p w14:paraId="0000005D"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5E"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 xml:space="preserve">Vilas, C (2005) ¿Estado víctima o promotor? El debate sobre soberanía y autonomía en el capitalismo Globalizado en </w:t>
      </w:r>
      <w:proofErr w:type="spellStart"/>
      <w:r>
        <w:rPr>
          <w:rFonts w:ascii="Arial" w:eastAsia="Arial" w:hAnsi="Arial" w:cs="Arial"/>
          <w:sz w:val="24"/>
          <w:szCs w:val="24"/>
        </w:rPr>
        <w:t>Forcinito</w:t>
      </w:r>
      <w:proofErr w:type="spellEnd"/>
      <w:r>
        <w:rPr>
          <w:rFonts w:ascii="Arial" w:eastAsia="Arial" w:hAnsi="Arial" w:cs="Arial"/>
          <w:sz w:val="24"/>
          <w:szCs w:val="24"/>
        </w:rPr>
        <w:t xml:space="preserve">, Karina. </w:t>
      </w:r>
      <w:r>
        <w:rPr>
          <w:rFonts w:ascii="Arial" w:eastAsia="Arial" w:hAnsi="Arial" w:cs="Arial"/>
          <w:i/>
          <w:sz w:val="24"/>
          <w:szCs w:val="24"/>
        </w:rPr>
        <w:t xml:space="preserve">Estado y política en la Argentina </w:t>
      </w:r>
      <w:proofErr w:type="spellStart"/>
      <w:r>
        <w:rPr>
          <w:rFonts w:ascii="Arial" w:eastAsia="Arial" w:hAnsi="Arial" w:cs="Arial"/>
          <w:i/>
          <w:sz w:val="24"/>
          <w:szCs w:val="24"/>
        </w:rPr>
        <w:t>Actual.</w:t>
      </w:r>
      <w:r>
        <w:rPr>
          <w:rFonts w:ascii="Arial" w:eastAsia="Arial" w:hAnsi="Arial" w:cs="Arial"/>
          <w:sz w:val="24"/>
          <w:szCs w:val="24"/>
        </w:rPr>
        <w:t>Buenos</w:t>
      </w:r>
      <w:proofErr w:type="spellEnd"/>
      <w:r>
        <w:rPr>
          <w:rFonts w:ascii="Arial" w:eastAsia="Arial" w:hAnsi="Arial" w:cs="Arial"/>
          <w:sz w:val="24"/>
          <w:szCs w:val="24"/>
        </w:rPr>
        <w:t xml:space="preserve"> Aires: Prometeo.</w:t>
      </w:r>
    </w:p>
    <w:p w14:paraId="0000005F" w14:textId="77777777" w:rsidR="0004315B" w:rsidRDefault="0004315B">
      <w:pPr>
        <w:spacing w:after="0" w:line="240" w:lineRule="auto"/>
        <w:jc w:val="both"/>
        <w:rPr>
          <w:rFonts w:ascii="Arial" w:eastAsia="Arial" w:hAnsi="Arial" w:cs="Arial"/>
          <w:sz w:val="24"/>
          <w:szCs w:val="24"/>
        </w:rPr>
      </w:pPr>
    </w:p>
    <w:p w14:paraId="00000060" w14:textId="77777777" w:rsidR="0004315B" w:rsidRDefault="0004315B">
      <w:pPr>
        <w:jc w:val="both"/>
        <w:rPr>
          <w:rFonts w:ascii="Arial" w:eastAsia="Arial" w:hAnsi="Arial" w:cs="Arial"/>
          <w:sz w:val="24"/>
          <w:szCs w:val="24"/>
        </w:rPr>
      </w:pPr>
    </w:p>
    <w:p w14:paraId="00000061" w14:textId="77777777" w:rsidR="0004315B" w:rsidRDefault="0099301F">
      <w:pPr>
        <w:jc w:val="both"/>
        <w:rPr>
          <w:rFonts w:ascii="Arial" w:eastAsia="Arial" w:hAnsi="Arial" w:cs="Arial"/>
          <w:b/>
          <w:sz w:val="24"/>
          <w:szCs w:val="24"/>
        </w:rPr>
      </w:pPr>
      <w:r>
        <w:rPr>
          <w:rFonts w:ascii="Arial" w:eastAsia="Arial" w:hAnsi="Arial" w:cs="Arial"/>
          <w:b/>
          <w:sz w:val="24"/>
          <w:szCs w:val="24"/>
        </w:rPr>
        <w:t>4- La agenda de la intervención en pobreza. ¿POBREZA CERO</w:t>
      </w:r>
      <w:proofErr w:type="gramStart"/>
      <w:r>
        <w:rPr>
          <w:rFonts w:ascii="Arial" w:eastAsia="Arial" w:hAnsi="Arial" w:cs="Arial"/>
          <w:b/>
          <w:sz w:val="24"/>
          <w:szCs w:val="24"/>
        </w:rPr>
        <w:t>?(</w:t>
      </w:r>
      <w:proofErr w:type="gramEnd"/>
      <w:r>
        <w:rPr>
          <w:rFonts w:ascii="Arial" w:eastAsia="Arial" w:hAnsi="Arial" w:cs="Arial"/>
          <w:b/>
          <w:sz w:val="24"/>
          <w:szCs w:val="24"/>
        </w:rPr>
        <w:t>2 clases)</w:t>
      </w:r>
    </w:p>
    <w:p w14:paraId="00000062"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Evolución del modelo de intervención de asistencia y promoción en Argentina. Políticas de transferencia de ingresos y políticas de promoción social. </w:t>
      </w:r>
    </w:p>
    <w:p w14:paraId="00000063" w14:textId="77777777" w:rsidR="0004315B" w:rsidRDefault="0004315B">
      <w:pPr>
        <w:jc w:val="both"/>
        <w:rPr>
          <w:rFonts w:ascii="Arial" w:eastAsia="Arial" w:hAnsi="Arial" w:cs="Arial"/>
          <w:sz w:val="24"/>
          <w:szCs w:val="24"/>
        </w:rPr>
      </w:pPr>
    </w:p>
    <w:p w14:paraId="00000064" w14:textId="77777777" w:rsidR="0004315B" w:rsidRDefault="0099301F">
      <w:pPr>
        <w:jc w:val="both"/>
        <w:rPr>
          <w:rFonts w:ascii="Arial" w:eastAsia="Arial" w:hAnsi="Arial" w:cs="Arial"/>
          <w:sz w:val="24"/>
          <w:szCs w:val="24"/>
        </w:rPr>
      </w:pPr>
      <w:r>
        <w:rPr>
          <w:rFonts w:ascii="Arial" w:eastAsia="Arial" w:hAnsi="Arial" w:cs="Arial"/>
          <w:b/>
          <w:sz w:val="24"/>
          <w:szCs w:val="24"/>
        </w:rPr>
        <w:t>Bibliografía obligatoria</w:t>
      </w:r>
      <w:r>
        <w:rPr>
          <w:rFonts w:ascii="Arial" w:eastAsia="Arial" w:hAnsi="Arial" w:cs="Arial"/>
          <w:sz w:val="24"/>
          <w:szCs w:val="24"/>
        </w:rPr>
        <w:t>:</w:t>
      </w:r>
    </w:p>
    <w:p w14:paraId="00000065" w14:textId="77777777" w:rsidR="0004315B" w:rsidRDefault="0099301F">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Arias, A (2012) </w:t>
      </w:r>
      <w:r>
        <w:rPr>
          <w:rFonts w:ascii="Arial" w:eastAsia="Arial" w:hAnsi="Arial" w:cs="Arial"/>
          <w:i/>
          <w:sz w:val="24"/>
          <w:szCs w:val="24"/>
        </w:rPr>
        <w:t xml:space="preserve">Pobreza y modelos de Intervención. Aportes para la superación del modelo de Asistencia y promoción. </w:t>
      </w:r>
      <w:r>
        <w:rPr>
          <w:rFonts w:ascii="Arial" w:eastAsia="Arial" w:hAnsi="Arial" w:cs="Arial"/>
          <w:sz w:val="24"/>
          <w:szCs w:val="24"/>
        </w:rPr>
        <w:t>Buenos Aires: Espacio Editorial. Capítulo 6 y conclusiones. Pag.147 a 195</w:t>
      </w:r>
    </w:p>
    <w:p w14:paraId="00000066" w14:textId="77777777" w:rsidR="0004315B" w:rsidRDefault="0099301F">
      <w:pPr>
        <w:jc w:val="both"/>
        <w:rPr>
          <w:rFonts w:ascii="Arial" w:eastAsia="Arial" w:hAnsi="Arial" w:cs="Arial"/>
          <w:sz w:val="24"/>
          <w:szCs w:val="24"/>
        </w:rPr>
      </w:pPr>
      <w:bookmarkStart w:id="2" w:name="_jymzzfhtlv7f" w:colFirst="0" w:colLast="0"/>
      <w:bookmarkEnd w:id="2"/>
      <w:r>
        <w:rPr>
          <w:rFonts w:ascii="Arial" w:eastAsia="Arial" w:hAnsi="Arial" w:cs="Arial"/>
          <w:sz w:val="24"/>
          <w:szCs w:val="24"/>
        </w:rPr>
        <w:t xml:space="preserve">Arias, A. J. (2019) De aditivos a amortiguadores. Cambios en el modelo de intervención asistencial. </w:t>
      </w:r>
      <w:proofErr w:type="spellStart"/>
      <w:r>
        <w:rPr>
          <w:rFonts w:ascii="Arial" w:eastAsia="Arial" w:hAnsi="Arial" w:cs="Arial"/>
          <w:i/>
          <w:sz w:val="24"/>
          <w:szCs w:val="24"/>
        </w:rPr>
        <w:t>ConCienciaSocial</w:t>
      </w:r>
      <w:proofErr w:type="spellEnd"/>
      <w:r>
        <w:rPr>
          <w:rFonts w:ascii="Arial" w:eastAsia="Arial" w:hAnsi="Arial" w:cs="Arial"/>
          <w:sz w:val="24"/>
          <w:szCs w:val="24"/>
        </w:rPr>
        <w:t>, 2(4).</w:t>
      </w:r>
    </w:p>
    <w:p w14:paraId="00000067" w14:textId="77777777" w:rsidR="0004315B" w:rsidRDefault="0099301F">
      <w:pPr>
        <w:jc w:val="both"/>
        <w:rPr>
          <w:rFonts w:ascii="Arial" w:eastAsia="Arial" w:hAnsi="Arial" w:cs="Arial"/>
          <w:sz w:val="24"/>
          <w:szCs w:val="24"/>
        </w:rPr>
      </w:pPr>
      <w:proofErr w:type="spellStart"/>
      <w:r>
        <w:rPr>
          <w:rFonts w:ascii="Arial" w:eastAsia="Arial" w:hAnsi="Arial" w:cs="Arial"/>
          <w:sz w:val="24"/>
          <w:szCs w:val="24"/>
        </w:rPr>
        <w:t>Kessler</w:t>
      </w:r>
      <w:proofErr w:type="spellEnd"/>
      <w:r>
        <w:rPr>
          <w:rFonts w:ascii="Arial" w:eastAsia="Arial" w:hAnsi="Arial" w:cs="Arial"/>
          <w:sz w:val="24"/>
          <w:szCs w:val="24"/>
        </w:rPr>
        <w:t xml:space="preserve">, G. (2014) Distribución del ingreso y el trabajo. El coeficiente de </w:t>
      </w:r>
      <w:proofErr w:type="spellStart"/>
      <w:r>
        <w:rPr>
          <w:rFonts w:ascii="Arial" w:eastAsia="Arial" w:hAnsi="Arial" w:cs="Arial"/>
          <w:sz w:val="24"/>
          <w:szCs w:val="24"/>
        </w:rPr>
        <w:t>Gini</w:t>
      </w:r>
      <w:proofErr w:type="spellEnd"/>
      <w:r>
        <w:rPr>
          <w:rFonts w:ascii="Arial" w:eastAsia="Arial" w:hAnsi="Arial" w:cs="Arial"/>
          <w:sz w:val="24"/>
          <w:szCs w:val="24"/>
        </w:rPr>
        <w:t>: la igualdad crece</w:t>
      </w:r>
      <w:proofErr w:type="gramStart"/>
      <w:r>
        <w:rPr>
          <w:rFonts w:ascii="Arial" w:eastAsia="Arial" w:hAnsi="Arial" w:cs="Arial"/>
          <w:sz w:val="24"/>
          <w:szCs w:val="24"/>
        </w:rPr>
        <w:t>?</w:t>
      </w:r>
      <w:proofErr w:type="gramEnd"/>
      <w:r>
        <w:rPr>
          <w:rFonts w:ascii="Arial" w:eastAsia="Arial" w:hAnsi="Arial" w:cs="Arial"/>
          <w:sz w:val="24"/>
          <w:szCs w:val="24"/>
        </w:rPr>
        <w:t xml:space="preserve"> En </w:t>
      </w:r>
      <w:proofErr w:type="spellStart"/>
      <w:r>
        <w:rPr>
          <w:rFonts w:ascii="Arial" w:eastAsia="Arial" w:hAnsi="Arial" w:cs="Arial"/>
          <w:sz w:val="24"/>
          <w:szCs w:val="24"/>
        </w:rPr>
        <w:t>Kessler</w:t>
      </w:r>
      <w:proofErr w:type="spellEnd"/>
      <w:r>
        <w:rPr>
          <w:rFonts w:ascii="Arial" w:eastAsia="Arial" w:hAnsi="Arial" w:cs="Arial"/>
          <w:sz w:val="24"/>
          <w:szCs w:val="24"/>
        </w:rPr>
        <w:t xml:space="preserve">, G (2014) </w:t>
      </w:r>
      <w:r>
        <w:rPr>
          <w:rFonts w:ascii="Arial" w:eastAsia="Arial" w:hAnsi="Arial" w:cs="Arial"/>
          <w:i/>
          <w:sz w:val="24"/>
          <w:szCs w:val="24"/>
        </w:rPr>
        <w:t>Controversias sobre la desigualdad. Argentina 2003-2013</w:t>
      </w:r>
      <w:r>
        <w:rPr>
          <w:rFonts w:ascii="Arial" w:eastAsia="Arial" w:hAnsi="Arial" w:cs="Arial"/>
          <w:sz w:val="24"/>
          <w:szCs w:val="24"/>
        </w:rPr>
        <w:t>. Ciudad Autónoma de Buenos Aires. Fondo de Cultura Económica</w:t>
      </w:r>
    </w:p>
    <w:p w14:paraId="00000068" w14:textId="77777777" w:rsidR="0004315B" w:rsidRDefault="0099301F">
      <w:pPr>
        <w:jc w:val="both"/>
        <w:rPr>
          <w:rFonts w:ascii="Arial" w:eastAsia="Arial" w:hAnsi="Arial" w:cs="Arial"/>
          <w:b/>
          <w:sz w:val="24"/>
          <w:szCs w:val="24"/>
        </w:rPr>
      </w:pPr>
      <w:proofErr w:type="spellStart"/>
      <w:r>
        <w:rPr>
          <w:rFonts w:ascii="Arial" w:eastAsia="Arial" w:hAnsi="Arial" w:cs="Arial"/>
          <w:sz w:val="24"/>
          <w:szCs w:val="24"/>
        </w:rPr>
        <w:lastRenderedPageBreak/>
        <w:t>Lopez</w:t>
      </w:r>
      <w:proofErr w:type="spellEnd"/>
      <w:r>
        <w:rPr>
          <w:rFonts w:ascii="Arial" w:eastAsia="Arial" w:hAnsi="Arial" w:cs="Arial"/>
          <w:sz w:val="24"/>
          <w:szCs w:val="24"/>
        </w:rPr>
        <w:t xml:space="preserve"> </w:t>
      </w:r>
      <w:proofErr w:type="spellStart"/>
      <w:r>
        <w:rPr>
          <w:rFonts w:ascii="Arial" w:eastAsia="Arial" w:hAnsi="Arial" w:cs="Arial"/>
          <w:sz w:val="24"/>
          <w:szCs w:val="24"/>
        </w:rPr>
        <w:t>Accot</w:t>
      </w:r>
      <w:proofErr w:type="spellEnd"/>
      <w:r>
        <w:rPr>
          <w:rFonts w:ascii="Arial" w:eastAsia="Arial" w:hAnsi="Arial" w:cs="Arial"/>
          <w:sz w:val="24"/>
          <w:szCs w:val="24"/>
        </w:rPr>
        <w:t xml:space="preserve">, A., </w:t>
      </w:r>
      <w:proofErr w:type="spellStart"/>
      <w:r>
        <w:rPr>
          <w:rFonts w:ascii="Arial" w:eastAsia="Arial" w:hAnsi="Arial" w:cs="Arial"/>
          <w:sz w:val="24"/>
          <w:szCs w:val="24"/>
        </w:rPr>
        <w:t>Martinez</w:t>
      </w:r>
      <w:proofErr w:type="spellEnd"/>
      <w:r>
        <w:rPr>
          <w:rFonts w:ascii="Arial" w:eastAsia="Arial" w:hAnsi="Arial" w:cs="Arial"/>
          <w:sz w:val="24"/>
          <w:szCs w:val="24"/>
        </w:rPr>
        <w:t>, C., Mangas, M., Paparas (</w:t>
      </w:r>
      <w:proofErr w:type="spellStart"/>
      <w:r>
        <w:rPr>
          <w:rFonts w:ascii="Arial" w:eastAsia="Arial" w:hAnsi="Arial" w:cs="Arial"/>
          <w:sz w:val="24"/>
          <w:szCs w:val="24"/>
        </w:rPr>
        <w:t>mimeo</w:t>
      </w:r>
      <w:proofErr w:type="spellEnd"/>
      <w:r>
        <w:rPr>
          <w:rFonts w:ascii="Arial" w:eastAsia="Arial" w:hAnsi="Arial" w:cs="Arial"/>
          <w:sz w:val="24"/>
          <w:szCs w:val="24"/>
        </w:rPr>
        <w:t xml:space="preserve">) Los impuestos a la riqueza en Argentina en una perspectiva comparada. Revista Economía y desarrollo. </w:t>
      </w:r>
      <w:proofErr w:type="spellStart"/>
      <w:r>
        <w:rPr>
          <w:rFonts w:ascii="Arial" w:eastAsia="Arial" w:hAnsi="Arial" w:cs="Arial"/>
          <w:sz w:val="24"/>
          <w:szCs w:val="24"/>
        </w:rPr>
        <w:t>Unsam</w:t>
      </w:r>
      <w:proofErr w:type="spellEnd"/>
    </w:p>
    <w:p w14:paraId="00000069"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Renos </w:t>
      </w:r>
      <w:proofErr w:type="spellStart"/>
      <w:r>
        <w:rPr>
          <w:rFonts w:ascii="Arial" w:eastAsia="Arial" w:hAnsi="Arial" w:cs="Arial"/>
          <w:sz w:val="24"/>
          <w:szCs w:val="24"/>
        </w:rPr>
        <w:t>Vakis</w:t>
      </w:r>
      <w:proofErr w:type="spellEnd"/>
      <w:r>
        <w:rPr>
          <w:rFonts w:ascii="Arial" w:eastAsia="Arial" w:hAnsi="Arial" w:cs="Arial"/>
          <w:sz w:val="24"/>
          <w:szCs w:val="24"/>
        </w:rPr>
        <w:t xml:space="preserve">, </w:t>
      </w:r>
      <w:proofErr w:type="spellStart"/>
      <w:r>
        <w:rPr>
          <w:rFonts w:ascii="Arial" w:eastAsia="Arial" w:hAnsi="Arial" w:cs="Arial"/>
          <w:sz w:val="24"/>
          <w:szCs w:val="24"/>
        </w:rPr>
        <w:t>Jamele</w:t>
      </w:r>
      <w:proofErr w:type="spellEnd"/>
      <w:r>
        <w:rPr>
          <w:rFonts w:ascii="Arial" w:eastAsia="Arial" w:hAnsi="Arial" w:cs="Arial"/>
          <w:sz w:val="24"/>
          <w:szCs w:val="24"/>
        </w:rPr>
        <w:t xml:space="preserve"> </w:t>
      </w:r>
      <w:proofErr w:type="spellStart"/>
      <w:r>
        <w:rPr>
          <w:rFonts w:ascii="Arial" w:eastAsia="Arial" w:hAnsi="Arial" w:cs="Arial"/>
          <w:sz w:val="24"/>
          <w:szCs w:val="24"/>
        </w:rPr>
        <w:t>Rigolini</w:t>
      </w:r>
      <w:proofErr w:type="spellEnd"/>
      <w:r>
        <w:rPr>
          <w:rFonts w:ascii="Arial" w:eastAsia="Arial" w:hAnsi="Arial" w:cs="Arial"/>
          <w:sz w:val="24"/>
          <w:szCs w:val="24"/>
        </w:rPr>
        <w:t xml:space="preserve"> y Leonardo Lucchetti (2015). Los Olvidados, Pobreza crónica en América Latina y el Caribe. Washington, DC: Banco Mundial. Licencia: </w:t>
      </w:r>
      <w:proofErr w:type="spellStart"/>
      <w:r>
        <w:rPr>
          <w:rFonts w:ascii="Arial" w:eastAsia="Arial" w:hAnsi="Arial" w:cs="Arial"/>
          <w:sz w:val="24"/>
          <w:szCs w:val="24"/>
        </w:rPr>
        <w:t>Creative</w:t>
      </w:r>
      <w:proofErr w:type="spellEnd"/>
      <w:r>
        <w:rPr>
          <w:rFonts w:ascii="Arial" w:eastAsia="Arial" w:hAnsi="Arial" w:cs="Arial"/>
          <w:sz w:val="24"/>
          <w:szCs w:val="24"/>
        </w:rPr>
        <w:t xml:space="preserve"> </w:t>
      </w:r>
      <w:proofErr w:type="spellStart"/>
      <w:r>
        <w:rPr>
          <w:rFonts w:ascii="Arial" w:eastAsia="Arial" w:hAnsi="Arial" w:cs="Arial"/>
          <w:sz w:val="24"/>
          <w:szCs w:val="24"/>
        </w:rPr>
        <w:t>Commons</w:t>
      </w:r>
      <w:proofErr w:type="spellEnd"/>
      <w:r>
        <w:rPr>
          <w:rFonts w:ascii="Arial" w:eastAsia="Arial" w:hAnsi="Arial" w:cs="Arial"/>
          <w:sz w:val="24"/>
          <w:szCs w:val="24"/>
        </w:rPr>
        <w:t xml:space="preserve"> de Reconocimiento CC BY 3.0</w:t>
      </w:r>
    </w:p>
    <w:p w14:paraId="0000006A" w14:textId="77777777" w:rsidR="0004315B" w:rsidRDefault="0099301F">
      <w:pPr>
        <w:jc w:val="both"/>
        <w:rPr>
          <w:rFonts w:ascii="Arial" w:eastAsia="Arial" w:hAnsi="Arial" w:cs="Arial"/>
          <w:sz w:val="24"/>
          <w:szCs w:val="24"/>
        </w:rPr>
      </w:pPr>
      <w:proofErr w:type="spellStart"/>
      <w:r>
        <w:rPr>
          <w:rFonts w:ascii="Arial" w:eastAsia="Arial" w:hAnsi="Arial" w:cs="Arial"/>
          <w:sz w:val="24"/>
          <w:szCs w:val="24"/>
        </w:rPr>
        <w:t>Rodriguez</w:t>
      </w:r>
      <w:proofErr w:type="spellEnd"/>
      <w:r>
        <w:rPr>
          <w:rFonts w:ascii="Arial" w:eastAsia="Arial" w:hAnsi="Arial" w:cs="Arial"/>
          <w:sz w:val="24"/>
          <w:szCs w:val="24"/>
        </w:rPr>
        <w:t xml:space="preserve"> </w:t>
      </w:r>
      <w:proofErr w:type="spellStart"/>
      <w:r>
        <w:rPr>
          <w:rFonts w:ascii="Arial" w:eastAsia="Arial" w:hAnsi="Arial" w:cs="Arial"/>
          <w:sz w:val="24"/>
          <w:szCs w:val="24"/>
        </w:rPr>
        <w:t>Enriquez</w:t>
      </w:r>
      <w:proofErr w:type="spellEnd"/>
      <w:r>
        <w:rPr>
          <w:rFonts w:ascii="Arial" w:eastAsia="Arial" w:hAnsi="Arial" w:cs="Arial"/>
          <w:sz w:val="24"/>
          <w:szCs w:val="24"/>
        </w:rPr>
        <w:t xml:space="preserve"> (2012) “Políticas de atención a la pobreza y las desigualdades en América Latina: una revisión crítica desde la economía feminista” en ONU Mujeres </w:t>
      </w:r>
      <w:r>
        <w:rPr>
          <w:rFonts w:ascii="Arial" w:eastAsia="Arial" w:hAnsi="Arial" w:cs="Arial"/>
          <w:i/>
          <w:sz w:val="24"/>
          <w:szCs w:val="24"/>
        </w:rPr>
        <w:t>La economía feminista desde América Latina. Una hoja de ruta sobre los debates actuales en la región</w:t>
      </w:r>
      <w:r>
        <w:rPr>
          <w:rFonts w:ascii="Arial" w:eastAsia="Arial" w:hAnsi="Arial" w:cs="Arial"/>
          <w:sz w:val="24"/>
          <w:szCs w:val="24"/>
        </w:rPr>
        <w:t xml:space="preserve">. </w:t>
      </w:r>
    </w:p>
    <w:p w14:paraId="0000006B"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u w:val="single"/>
        </w:rPr>
      </w:pPr>
    </w:p>
    <w:p w14:paraId="0000006C"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Bibliografía optativa</w:t>
      </w:r>
    </w:p>
    <w:p w14:paraId="0000006D"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6E"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Feijoo, M. (1990) La pobreza latinoamericana revisitada, en </w:t>
      </w:r>
      <w:r>
        <w:rPr>
          <w:rFonts w:ascii="Arial" w:eastAsia="Arial" w:hAnsi="Arial" w:cs="Arial"/>
          <w:i/>
          <w:color w:val="000000"/>
          <w:sz w:val="24"/>
          <w:szCs w:val="24"/>
        </w:rPr>
        <w:t>Revista Nueva Sociedad, Nro. 108</w:t>
      </w:r>
      <w:proofErr w:type="gramStart"/>
      <w:r>
        <w:rPr>
          <w:rFonts w:ascii="Arial" w:eastAsia="Arial" w:hAnsi="Arial" w:cs="Arial"/>
          <w:i/>
          <w:color w:val="000000"/>
          <w:sz w:val="24"/>
          <w:szCs w:val="24"/>
        </w:rPr>
        <w:t>..</w:t>
      </w:r>
      <w:proofErr w:type="gramEnd"/>
      <w:r>
        <w:rPr>
          <w:rFonts w:ascii="Arial" w:eastAsia="Arial" w:hAnsi="Arial" w:cs="Arial"/>
          <w:color w:val="000000"/>
          <w:sz w:val="24"/>
          <w:szCs w:val="24"/>
        </w:rPr>
        <w:t xml:space="preserve"> Pp. 28-36</w:t>
      </w:r>
    </w:p>
    <w:p w14:paraId="0000006F" w14:textId="77777777" w:rsidR="0004315B" w:rsidRDefault="0004315B">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70" w14:textId="77777777" w:rsidR="0004315B" w:rsidRDefault="0099301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(2001) </w:t>
      </w:r>
      <w:r>
        <w:rPr>
          <w:rFonts w:ascii="Arial" w:eastAsia="Arial" w:hAnsi="Arial" w:cs="Arial"/>
          <w:i/>
          <w:color w:val="000000"/>
          <w:sz w:val="24"/>
          <w:szCs w:val="24"/>
        </w:rPr>
        <w:t>Nuevo País, nueva Pobreza</w:t>
      </w:r>
      <w:r>
        <w:rPr>
          <w:rFonts w:ascii="Arial" w:eastAsia="Arial" w:hAnsi="Arial" w:cs="Arial"/>
          <w:color w:val="000000"/>
          <w:sz w:val="24"/>
          <w:szCs w:val="24"/>
        </w:rPr>
        <w:t>. Buenos Aires: Facultad de Ciencias, FCE.</w:t>
      </w:r>
    </w:p>
    <w:p w14:paraId="00000071" w14:textId="77777777" w:rsidR="0004315B" w:rsidRDefault="0004315B">
      <w:pPr>
        <w:spacing w:after="0" w:line="240" w:lineRule="auto"/>
        <w:jc w:val="both"/>
        <w:rPr>
          <w:rFonts w:ascii="Arial" w:eastAsia="Arial" w:hAnsi="Arial" w:cs="Arial"/>
          <w:sz w:val="24"/>
          <w:szCs w:val="24"/>
        </w:rPr>
      </w:pPr>
    </w:p>
    <w:p w14:paraId="00000072" w14:textId="77777777" w:rsidR="0004315B" w:rsidRDefault="0004315B">
      <w:pPr>
        <w:spacing w:after="0" w:line="240" w:lineRule="auto"/>
        <w:jc w:val="both"/>
        <w:rPr>
          <w:rFonts w:ascii="Arial" w:eastAsia="Arial" w:hAnsi="Arial" w:cs="Arial"/>
          <w:sz w:val="24"/>
          <w:szCs w:val="24"/>
        </w:rPr>
      </w:pPr>
    </w:p>
    <w:p w14:paraId="00000073" w14:textId="77777777" w:rsidR="0004315B" w:rsidRDefault="0099301F">
      <w:pPr>
        <w:spacing w:after="0" w:line="240" w:lineRule="auto"/>
        <w:jc w:val="both"/>
        <w:rPr>
          <w:rFonts w:ascii="Arial" w:eastAsia="Arial" w:hAnsi="Arial" w:cs="Arial"/>
          <w:sz w:val="24"/>
          <w:szCs w:val="24"/>
        </w:rPr>
      </w:pPr>
      <w:proofErr w:type="spellStart"/>
      <w:r>
        <w:rPr>
          <w:rFonts w:ascii="Arial" w:eastAsia="Arial" w:hAnsi="Arial" w:cs="Arial"/>
          <w:sz w:val="24"/>
          <w:szCs w:val="24"/>
        </w:rPr>
        <w:t>Grassi</w:t>
      </w:r>
      <w:proofErr w:type="spellEnd"/>
      <w:r>
        <w:rPr>
          <w:rFonts w:ascii="Arial" w:eastAsia="Arial" w:hAnsi="Arial" w:cs="Arial"/>
          <w:sz w:val="24"/>
          <w:szCs w:val="24"/>
        </w:rPr>
        <w:t>, Estela (2007) “La política social, las necesidades sociales y el principio de la  igualdad: reflexiones para un debate post neoliberal”, ponencia presentada en Congreso Latinoamericano y Caribeño de Ciencias Sociales, FLACSO, Ecuador</w:t>
      </w:r>
    </w:p>
    <w:p w14:paraId="00000074" w14:textId="77777777" w:rsidR="0004315B" w:rsidRDefault="0004315B">
      <w:pPr>
        <w:jc w:val="both"/>
        <w:rPr>
          <w:rFonts w:ascii="Arial" w:eastAsia="Arial" w:hAnsi="Arial" w:cs="Arial"/>
          <w:sz w:val="24"/>
          <w:szCs w:val="24"/>
        </w:rPr>
      </w:pPr>
    </w:p>
    <w:p w14:paraId="00000075" w14:textId="77777777" w:rsidR="0004315B" w:rsidRDefault="0099301F">
      <w:pPr>
        <w:jc w:val="both"/>
        <w:rPr>
          <w:rFonts w:ascii="Arial" w:eastAsia="Arial" w:hAnsi="Arial" w:cs="Arial"/>
          <w:sz w:val="24"/>
          <w:szCs w:val="24"/>
        </w:rPr>
      </w:pPr>
      <w:r>
        <w:rPr>
          <w:rFonts w:ascii="Arial" w:eastAsia="Arial" w:hAnsi="Arial" w:cs="Arial"/>
          <w:b/>
          <w:sz w:val="24"/>
          <w:szCs w:val="24"/>
        </w:rPr>
        <w:t xml:space="preserve">5- La agenda “territorial”. Nuevas formas de </w:t>
      </w:r>
      <w:proofErr w:type="spellStart"/>
      <w:r>
        <w:rPr>
          <w:rFonts w:ascii="Arial" w:eastAsia="Arial" w:hAnsi="Arial" w:cs="Arial"/>
          <w:b/>
          <w:sz w:val="24"/>
          <w:szCs w:val="24"/>
        </w:rPr>
        <w:t>revinculación</w:t>
      </w:r>
      <w:proofErr w:type="spellEnd"/>
      <w:r>
        <w:rPr>
          <w:rFonts w:ascii="Arial" w:eastAsia="Arial" w:hAnsi="Arial" w:cs="Arial"/>
          <w:b/>
          <w:sz w:val="24"/>
          <w:szCs w:val="24"/>
        </w:rPr>
        <w:t xml:space="preserve"> territorial. </w:t>
      </w:r>
      <w:proofErr w:type="spellStart"/>
      <w:r>
        <w:rPr>
          <w:rFonts w:ascii="Arial" w:eastAsia="Arial" w:hAnsi="Arial" w:cs="Arial"/>
          <w:b/>
          <w:sz w:val="24"/>
          <w:szCs w:val="24"/>
        </w:rPr>
        <w:t>Descolectivización</w:t>
      </w:r>
      <w:proofErr w:type="spellEnd"/>
      <w:r>
        <w:rPr>
          <w:rFonts w:ascii="Arial" w:eastAsia="Arial" w:hAnsi="Arial" w:cs="Arial"/>
          <w:b/>
          <w:sz w:val="24"/>
          <w:szCs w:val="24"/>
        </w:rPr>
        <w:t xml:space="preserve"> y </w:t>
      </w:r>
      <w:proofErr w:type="spellStart"/>
      <w:r>
        <w:rPr>
          <w:rFonts w:ascii="Arial" w:eastAsia="Arial" w:hAnsi="Arial" w:cs="Arial"/>
          <w:b/>
          <w:sz w:val="24"/>
          <w:szCs w:val="24"/>
        </w:rPr>
        <w:t>recolectivización</w:t>
      </w:r>
      <w:proofErr w:type="spellEnd"/>
      <w:r>
        <w:rPr>
          <w:rFonts w:ascii="Arial" w:eastAsia="Arial" w:hAnsi="Arial" w:cs="Arial"/>
          <w:b/>
          <w:sz w:val="24"/>
          <w:szCs w:val="24"/>
        </w:rPr>
        <w:t>. Nuevas formas de comunidad. Redes. Big data</w:t>
      </w:r>
      <w:r>
        <w:rPr>
          <w:rFonts w:ascii="Arial" w:eastAsia="Arial" w:hAnsi="Arial" w:cs="Arial"/>
          <w:sz w:val="24"/>
          <w:szCs w:val="24"/>
        </w:rPr>
        <w:t xml:space="preserve">. </w:t>
      </w:r>
    </w:p>
    <w:p w14:paraId="00000076" w14:textId="77777777" w:rsidR="0004315B" w:rsidRDefault="0099301F">
      <w:pPr>
        <w:jc w:val="both"/>
        <w:rPr>
          <w:rFonts w:ascii="Arial" w:eastAsia="Arial" w:hAnsi="Arial" w:cs="Arial"/>
          <w:b/>
          <w:sz w:val="24"/>
          <w:szCs w:val="24"/>
        </w:rPr>
      </w:pPr>
      <w:r>
        <w:rPr>
          <w:rFonts w:ascii="Arial" w:eastAsia="Arial" w:hAnsi="Arial" w:cs="Arial"/>
          <w:b/>
          <w:sz w:val="24"/>
          <w:szCs w:val="24"/>
        </w:rPr>
        <w:t>Bibliografía obligatoria:</w:t>
      </w:r>
    </w:p>
    <w:p w14:paraId="00000077" w14:textId="77777777" w:rsidR="0004315B" w:rsidRDefault="0004315B">
      <w:pPr>
        <w:spacing w:after="0" w:line="240" w:lineRule="auto"/>
        <w:jc w:val="both"/>
        <w:rPr>
          <w:rFonts w:ascii="Arial" w:eastAsia="Arial" w:hAnsi="Arial" w:cs="Arial"/>
          <w:sz w:val="24"/>
          <w:szCs w:val="24"/>
        </w:rPr>
      </w:pPr>
    </w:p>
    <w:p w14:paraId="00000078"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Arias, A. (2013). Lo territorial en el territorio de la Argentina. Connotaciones históricas, políticas y culturales de lo social de los territorios.</w:t>
      </w:r>
      <w:r>
        <w:t> </w:t>
      </w:r>
      <w:r>
        <w:rPr>
          <w:rFonts w:ascii="Arial" w:eastAsia="Arial" w:hAnsi="Arial" w:cs="Arial"/>
          <w:sz w:val="24"/>
          <w:szCs w:val="24"/>
        </w:rPr>
        <w:t>Revista Margen,</w:t>
      </w:r>
      <w:r>
        <w:t> </w:t>
      </w:r>
      <w:r>
        <w:rPr>
          <w:rFonts w:ascii="Arial" w:eastAsia="Arial" w:hAnsi="Arial" w:cs="Arial"/>
          <w:sz w:val="24"/>
          <w:szCs w:val="24"/>
        </w:rPr>
        <w:t>71.</w:t>
      </w:r>
    </w:p>
    <w:p w14:paraId="00000079" w14:textId="77777777" w:rsidR="0004315B" w:rsidRDefault="0004315B">
      <w:pPr>
        <w:spacing w:after="0" w:line="240" w:lineRule="auto"/>
        <w:jc w:val="both"/>
        <w:rPr>
          <w:rFonts w:ascii="Arial" w:eastAsia="Arial" w:hAnsi="Arial" w:cs="Arial"/>
          <w:sz w:val="24"/>
          <w:szCs w:val="24"/>
        </w:rPr>
      </w:pPr>
    </w:p>
    <w:p w14:paraId="0000007A" w14:textId="77777777" w:rsidR="0004315B" w:rsidRDefault="0099301F">
      <w:pPr>
        <w:spacing w:after="0" w:line="240" w:lineRule="auto"/>
        <w:jc w:val="both"/>
        <w:rPr>
          <w:rFonts w:ascii="Arial" w:eastAsia="Arial" w:hAnsi="Arial" w:cs="Arial"/>
          <w:sz w:val="24"/>
          <w:szCs w:val="24"/>
        </w:rPr>
      </w:pPr>
      <w:r>
        <w:rPr>
          <w:rFonts w:ascii="Arial" w:eastAsia="Arial" w:hAnsi="Arial" w:cs="Arial"/>
          <w:sz w:val="24"/>
          <w:szCs w:val="24"/>
        </w:rPr>
        <w:t xml:space="preserve">Blanco, J., </w:t>
      </w:r>
      <w:proofErr w:type="spellStart"/>
      <w:r>
        <w:rPr>
          <w:rFonts w:ascii="Arial" w:eastAsia="Arial" w:hAnsi="Arial" w:cs="Arial"/>
          <w:sz w:val="24"/>
          <w:szCs w:val="24"/>
        </w:rPr>
        <w:t>Bosoer</w:t>
      </w:r>
      <w:proofErr w:type="spellEnd"/>
      <w:r>
        <w:rPr>
          <w:rFonts w:ascii="Arial" w:eastAsia="Arial" w:hAnsi="Arial" w:cs="Arial"/>
          <w:sz w:val="24"/>
          <w:szCs w:val="24"/>
        </w:rPr>
        <w:t>, L., &amp; Apaolaza, R. (2014). Movilidad, apropiación y uso del territorio: una aproximación a partir del caso de Buenos Aires.</w:t>
      </w:r>
      <w:r>
        <w:t> </w:t>
      </w:r>
      <w:proofErr w:type="spellStart"/>
      <w:r>
        <w:rPr>
          <w:rFonts w:ascii="Arial" w:eastAsia="Arial" w:hAnsi="Arial" w:cs="Arial"/>
          <w:sz w:val="24"/>
          <w:szCs w:val="24"/>
        </w:rPr>
        <w:t>Scripta</w:t>
      </w:r>
      <w:proofErr w:type="spellEnd"/>
      <w:r>
        <w:rPr>
          <w:rFonts w:ascii="Arial" w:eastAsia="Arial" w:hAnsi="Arial" w:cs="Arial"/>
          <w:sz w:val="24"/>
          <w:szCs w:val="24"/>
        </w:rPr>
        <w:t xml:space="preserve"> Nova. Revista Electrónica de Geografía y Ciencias Sociales,</w:t>
      </w:r>
      <w:r>
        <w:t> </w:t>
      </w:r>
      <w:r>
        <w:rPr>
          <w:rFonts w:ascii="Arial" w:eastAsia="Arial" w:hAnsi="Arial" w:cs="Arial"/>
          <w:sz w:val="24"/>
          <w:szCs w:val="24"/>
        </w:rPr>
        <w:t>18</w:t>
      </w:r>
    </w:p>
    <w:p w14:paraId="0000007B" w14:textId="77777777" w:rsidR="0004315B" w:rsidRDefault="0004315B">
      <w:pPr>
        <w:spacing w:after="0" w:line="240" w:lineRule="auto"/>
        <w:jc w:val="both"/>
        <w:rPr>
          <w:rFonts w:ascii="Arial" w:eastAsia="Arial" w:hAnsi="Arial" w:cs="Arial"/>
          <w:sz w:val="24"/>
          <w:szCs w:val="24"/>
        </w:rPr>
      </w:pPr>
    </w:p>
    <w:p w14:paraId="0000007C" w14:textId="77777777" w:rsidR="0004315B" w:rsidRDefault="0099301F">
      <w:pPr>
        <w:spacing w:after="0" w:line="240" w:lineRule="auto"/>
        <w:jc w:val="both"/>
        <w:rPr>
          <w:rFonts w:ascii="Arial" w:eastAsia="Arial" w:hAnsi="Arial" w:cs="Arial"/>
          <w:sz w:val="24"/>
          <w:szCs w:val="24"/>
        </w:rPr>
      </w:pPr>
      <w:proofErr w:type="spellStart"/>
      <w:r>
        <w:rPr>
          <w:rFonts w:ascii="Arial" w:eastAsia="Arial" w:hAnsi="Arial" w:cs="Arial"/>
          <w:sz w:val="24"/>
          <w:szCs w:val="24"/>
        </w:rPr>
        <w:t>Galup</w:t>
      </w:r>
      <w:proofErr w:type="spellEnd"/>
      <w:r>
        <w:rPr>
          <w:rFonts w:ascii="Arial" w:eastAsia="Arial" w:hAnsi="Arial" w:cs="Arial"/>
          <w:sz w:val="24"/>
          <w:szCs w:val="24"/>
        </w:rPr>
        <w:t xml:space="preserve">, L y </w:t>
      </w:r>
      <w:proofErr w:type="spellStart"/>
      <w:r>
        <w:rPr>
          <w:rFonts w:ascii="Arial" w:eastAsia="Arial" w:hAnsi="Arial" w:cs="Arial"/>
          <w:sz w:val="24"/>
          <w:szCs w:val="24"/>
        </w:rPr>
        <w:t>Pilorget</w:t>
      </w:r>
      <w:proofErr w:type="spellEnd"/>
      <w:r>
        <w:rPr>
          <w:rFonts w:ascii="Arial" w:eastAsia="Arial" w:hAnsi="Arial" w:cs="Arial"/>
          <w:sz w:val="24"/>
          <w:szCs w:val="24"/>
        </w:rPr>
        <w:t xml:space="preserve">, JP (2018) Ciudadanías digitales: cuando la riqueza se mide en datos en </w:t>
      </w:r>
      <w:hyperlink r:id="rId7">
        <w:r>
          <w:rPr>
            <w:rFonts w:ascii="Arial" w:eastAsia="Arial" w:hAnsi="Arial" w:cs="Arial"/>
            <w:color w:val="1155CC"/>
            <w:sz w:val="24"/>
            <w:szCs w:val="24"/>
            <w:u w:val="single"/>
          </w:rPr>
          <w:t>http://papel.revistafibra.info/ciudadanias-digitales-cuando-la-riqueza-se-mide-datos/</w:t>
        </w:r>
      </w:hyperlink>
    </w:p>
    <w:p w14:paraId="0000007D" w14:textId="77777777" w:rsidR="0004315B" w:rsidRDefault="0004315B">
      <w:pPr>
        <w:spacing w:after="0" w:line="240" w:lineRule="auto"/>
        <w:jc w:val="both"/>
        <w:rPr>
          <w:rFonts w:ascii="Arial" w:eastAsia="Arial" w:hAnsi="Arial" w:cs="Arial"/>
          <w:color w:val="222222"/>
          <w:sz w:val="24"/>
          <w:szCs w:val="24"/>
          <w:highlight w:val="white"/>
        </w:rPr>
      </w:pPr>
    </w:p>
    <w:p w14:paraId="0000007E" w14:textId="77777777" w:rsidR="0004315B" w:rsidRDefault="0099301F">
      <w:pPr>
        <w:spacing w:after="0" w:line="240" w:lineRule="auto"/>
        <w:jc w:val="both"/>
        <w:rPr>
          <w:rFonts w:ascii="Arial" w:eastAsia="Arial" w:hAnsi="Arial" w:cs="Arial"/>
          <w:color w:val="0000FF"/>
          <w:sz w:val="24"/>
          <w:szCs w:val="24"/>
          <w:u w:val="single"/>
        </w:rPr>
      </w:pPr>
      <w:proofErr w:type="spellStart"/>
      <w:r>
        <w:rPr>
          <w:rFonts w:ascii="Arial" w:eastAsia="Arial" w:hAnsi="Arial" w:cs="Arial"/>
          <w:color w:val="222222"/>
          <w:sz w:val="24"/>
          <w:szCs w:val="24"/>
          <w:highlight w:val="white"/>
        </w:rPr>
        <w:lastRenderedPageBreak/>
        <w:t>Tagnin</w:t>
      </w:r>
      <w:proofErr w:type="spellEnd"/>
      <w:r>
        <w:rPr>
          <w:rFonts w:ascii="Arial" w:eastAsia="Arial" w:hAnsi="Arial" w:cs="Arial"/>
          <w:color w:val="222222"/>
          <w:sz w:val="24"/>
          <w:szCs w:val="24"/>
          <w:highlight w:val="white"/>
        </w:rPr>
        <w:t>, J. (2019) Big data y ciencias sociales. En Revista bordes.</w:t>
      </w:r>
      <w:hyperlink r:id="rId8">
        <w:r>
          <w:rPr>
            <w:rFonts w:ascii="Arial" w:eastAsia="Arial" w:hAnsi="Arial" w:cs="Arial"/>
            <w:color w:val="222222"/>
            <w:sz w:val="24"/>
            <w:szCs w:val="24"/>
            <w:highlight w:val="white"/>
          </w:rPr>
          <w:t xml:space="preserve"> </w:t>
        </w:r>
      </w:hyperlink>
      <w:r>
        <w:fldChar w:fldCharType="begin"/>
      </w:r>
      <w:r>
        <w:instrText xml:space="preserve"> HYPERLINK "http://revistabordes.com.ar/big-data-y-ciencias-sociales/" </w:instrText>
      </w:r>
      <w:r>
        <w:fldChar w:fldCharType="separate"/>
      </w:r>
      <w:r>
        <w:rPr>
          <w:rFonts w:ascii="Arial" w:eastAsia="Arial" w:hAnsi="Arial" w:cs="Arial"/>
          <w:color w:val="0000FF"/>
          <w:sz w:val="24"/>
          <w:szCs w:val="24"/>
          <w:u w:val="single"/>
        </w:rPr>
        <w:t>http://revistabordes.com.ar/big-data-y-ciencias-sociales/</w:t>
      </w:r>
    </w:p>
    <w:p w14:paraId="0000007F" w14:textId="77777777" w:rsidR="0004315B" w:rsidRDefault="0099301F">
      <w:pPr>
        <w:spacing w:after="0" w:line="240" w:lineRule="auto"/>
        <w:jc w:val="both"/>
        <w:rPr>
          <w:rFonts w:ascii="Arial" w:eastAsia="Arial" w:hAnsi="Arial" w:cs="Arial"/>
          <w:sz w:val="24"/>
          <w:szCs w:val="24"/>
        </w:rPr>
      </w:pPr>
      <w:r>
        <w:fldChar w:fldCharType="end"/>
      </w:r>
    </w:p>
    <w:p w14:paraId="00000080" w14:textId="77777777" w:rsidR="0004315B" w:rsidRDefault="0004315B">
      <w:pPr>
        <w:jc w:val="both"/>
        <w:rPr>
          <w:rFonts w:ascii="Arial" w:eastAsia="Arial" w:hAnsi="Arial" w:cs="Arial"/>
          <w:color w:val="222222"/>
          <w:sz w:val="24"/>
          <w:szCs w:val="24"/>
          <w:highlight w:val="white"/>
        </w:rPr>
      </w:pPr>
    </w:p>
    <w:p w14:paraId="00000081" w14:textId="77777777" w:rsidR="0004315B" w:rsidRDefault="0004315B">
      <w:pPr>
        <w:jc w:val="both"/>
        <w:rPr>
          <w:rFonts w:ascii="Arial" w:eastAsia="Arial" w:hAnsi="Arial" w:cs="Arial"/>
          <w:sz w:val="24"/>
          <w:szCs w:val="24"/>
        </w:rPr>
      </w:pPr>
    </w:p>
    <w:p w14:paraId="00000082" w14:textId="77777777" w:rsidR="0004315B" w:rsidRDefault="0004315B">
      <w:pPr>
        <w:jc w:val="both"/>
        <w:rPr>
          <w:rFonts w:ascii="Arial" w:eastAsia="Arial" w:hAnsi="Arial" w:cs="Arial"/>
          <w:sz w:val="24"/>
          <w:szCs w:val="24"/>
        </w:rPr>
      </w:pPr>
    </w:p>
    <w:p w14:paraId="00000083" w14:textId="77777777" w:rsidR="0004315B" w:rsidRDefault="0099301F">
      <w:pPr>
        <w:jc w:val="both"/>
        <w:rPr>
          <w:rFonts w:ascii="Arial" w:eastAsia="Arial" w:hAnsi="Arial" w:cs="Arial"/>
          <w:sz w:val="24"/>
          <w:szCs w:val="24"/>
        </w:rPr>
      </w:pPr>
      <w:r>
        <w:rPr>
          <w:rFonts w:ascii="Arial" w:eastAsia="Arial" w:hAnsi="Arial" w:cs="Arial"/>
          <w:sz w:val="24"/>
          <w:szCs w:val="24"/>
          <w:u w:val="single"/>
        </w:rPr>
        <w:t>Modalidad de cursada</w:t>
      </w:r>
      <w:r>
        <w:rPr>
          <w:rFonts w:ascii="Arial" w:eastAsia="Arial" w:hAnsi="Arial" w:cs="Arial"/>
          <w:sz w:val="24"/>
          <w:szCs w:val="24"/>
        </w:rPr>
        <w:t>: las clases se estructuran en dos bloques. Las primeras dos horas se realizará una presentación teórica de los principales tópicos de cada unidad, a cargo de las docentes responsables. En las siguientes dos horas se espera que los maestrandos presenten algún texto de la unidad temática en cuestión que se relacione con sus temas de TIF/Tesis. La distribución de textos se realizará en la primera clase, donde cada maestrando elegirá qué texto desea presentar.</w:t>
      </w:r>
    </w:p>
    <w:p w14:paraId="00000084" w14:textId="77777777" w:rsidR="0004315B" w:rsidRDefault="0004315B">
      <w:pPr>
        <w:jc w:val="both"/>
        <w:rPr>
          <w:rFonts w:ascii="Arial" w:eastAsia="Arial" w:hAnsi="Arial" w:cs="Arial"/>
          <w:sz w:val="24"/>
          <w:szCs w:val="24"/>
        </w:rPr>
      </w:pPr>
    </w:p>
    <w:p w14:paraId="00000085" w14:textId="77777777" w:rsidR="0004315B" w:rsidRDefault="0099301F">
      <w:pPr>
        <w:jc w:val="both"/>
        <w:rPr>
          <w:rFonts w:ascii="Arial" w:eastAsia="Arial" w:hAnsi="Arial" w:cs="Arial"/>
          <w:sz w:val="24"/>
          <w:szCs w:val="24"/>
        </w:rPr>
      </w:pPr>
      <w:r>
        <w:rPr>
          <w:rFonts w:ascii="Arial" w:eastAsia="Arial" w:hAnsi="Arial" w:cs="Arial"/>
          <w:sz w:val="24"/>
          <w:szCs w:val="24"/>
          <w:u w:val="single"/>
        </w:rPr>
        <w:t>Forma de evaluación</w:t>
      </w:r>
      <w:r>
        <w:rPr>
          <w:rFonts w:ascii="Arial" w:eastAsia="Arial" w:hAnsi="Arial" w:cs="Arial"/>
          <w:sz w:val="24"/>
          <w:szCs w:val="24"/>
        </w:rPr>
        <w:t>:</w:t>
      </w:r>
    </w:p>
    <w:p w14:paraId="00000086" w14:textId="77777777" w:rsidR="0004315B" w:rsidRDefault="0099301F">
      <w:pPr>
        <w:jc w:val="both"/>
        <w:rPr>
          <w:rFonts w:ascii="Arial" w:eastAsia="Arial" w:hAnsi="Arial" w:cs="Arial"/>
          <w:sz w:val="24"/>
          <w:szCs w:val="24"/>
        </w:rPr>
      </w:pPr>
      <w:r>
        <w:rPr>
          <w:rFonts w:ascii="Arial" w:eastAsia="Arial" w:hAnsi="Arial" w:cs="Arial"/>
          <w:sz w:val="24"/>
          <w:szCs w:val="24"/>
        </w:rPr>
        <w:t xml:space="preserve">Se </w:t>
      </w:r>
      <w:proofErr w:type="spellStart"/>
      <w:r>
        <w:rPr>
          <w:rFonts w:ascii="Arial" w:eastAsia="Arial" w:hAnsi="Arial" w:cs="Arial"/>
          <w:sz w:val="24"/>
          <w:szCs w:val="24"/>
        </w:rPr>
        <w:t>prevee</w:t>
      </w:r>
      <w:proofErr w:type="spellEnd"/>
      <w:r>
        <w:rPr>
          <w:rFonts w:ascii="Arial" w:eastAsia="Arial" w:hAnsi="Arial" w:cs="Arial"/>
          <w:sz w:val="24"/>
          <w:szCs w:val="24"/>
        </w:rPr>
        <w:t xml:space="preserve"> la entrega de un ensayo de entre 5 y 7 páginas, en dónde los maestrandos puedan vincular sus temas de tesis con los contenidos trabajados en el seminario. </w:t>
      </w:r>
    </w:p>
    <w:p w14:paraId="00000087" w14:textId="77777777" w:rsidR="0004315B" w:rsidRDefault="0099301F">
      <w:pPr>
        <w:jc w:val="both"/>
        <w:rPr>
          <w:rFonts w:ascii="Arial" w:eastAsia="Arial" w:hAnsi="Arial" w:cs="Arial"/>
          <w:sz w:val="24"/>
          <w:szCs w:val="24"/>
        </w:rPr>
      </w:pPr>
      <w:r>
        <w:rPr>
          <w:rFonts w:ascii="Arial" w:eastAsia="Arial" w:hAnsi="Arial" w:cs="Arial"/>
          <w:sz w:val="24"/>
          <w:szCs w:val="24"/>
        </w:rPr>
        <w:t>Esto es:</w:t>
      </w:r>
    </w:p>
    <w:p w14:paraId="00000088" w14:textId="77777777" w:rsidR="0004315B" w:rsidRDefault="0099301F">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Reflexionando/reconstruyendo cómo el tema elegido entró (o no) en la agenda pública</w:t>
      </w:r>
    </w:p>
    <w:p w14:paraId="00000089" w14:textId="77777777" w:rsidR="0004315B" w:rsidRDefault="0099301F">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Cuál es el sujeto que interpela la política en cuestión seleccionada, qué discusiones en torno a ese sujeto han primado en la definición de la política</w:t>
      </w:r>
    </w:p>
    <w:p w14:paraId="0000008A" w14:textId="77777777" w:rsidR="0004315B" w:rsidRDefault="0099301F">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Se han dispuesto/mejorado/desmejorado capacidades estatales específicas para la implementación de la política seleccionada</w:t>
      </w:r>
    </w:p>
    <w:p w14:paraId="0000008B" w14:textId="77777777" w:rsidR="0004315B" w:rsidRDefault="0099301F">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Cuáles podrían ser las cuestiones pendientes en relación a la política seleccionada que ameritarían otro tipo de intervenciones por parte del estado</w:t>
      </w:r>
    </w:p>
    <w:p w14:paraId="0000008C" w14:textId="77777777" w:rsidR="0004315B" w:rsidRDefault="0099301F">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Como se vincula la política seleccionada con la cuestión de la pobreza</w:t>
      </w:r>
    </w:p>
    <w:p w14:paraId="0000008D" w14:textId="77777777" w:rsidR="0004315B" w:rsidRDefault="0099301F">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términos de la territorialidad, cómo podría pensarse/interpelarse la política/programa seleccionada, o qué tipo de territorialidad pone en juego</w:t>
      </w:r>
    </w:p>
    <w:p w14:paraId="0000008E" w14:textId="77777777" w:rsidR="0004315B" w:rsidRDefault="0099301F">
      <w:pPr>
        <w:jc w:val="both"/>
        <w:rPr>
          <w:rFonts w:ascii="Arial" w:eastAsia="Arial" w:hAnsi="Arial" w:cs="Arial"/>
          <w:sz w:val="24"/>
          <w:szCs w:val="24"/>
        </w:rPr>
      </w:pPr>
      <w:r>
        <w:rPr>
          <w:rFonts w:ascii="Arial" w:eastAsia="Arial" w:hAnsi="Arial" w:cs="Arial"/>
          <w:sz w:val="24"/>
          <w:szCs w:val="24"/>
        </w:rPr>
        <w:t>Cómo mínimo les pediremos que debatan con 2 de los autores que forman parte de la bibliografía en cada unidad temática.</w:t>
      </w:r>
    </w:p>
    <w:p w14:paraId="0000008F" w14:textId="77777777" w:rsidR="0004315B" w:rsidRDefault="0004315B">
      <w:pPr>
        <w:rPr>
          <w:rFonts w:ascii="Arial" w:eastAsia="Arial" w:hAnsi="Arial" w:cs="Arial"/>
          <w:sz w:val="24"/>
          <w:szCs w:val="24"/>
        </w:rPr>
      </w:pPr>
    </w:p>
    <w:sectPr w:rsidR="0004315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BAC"/>
    <w:multiLevelType w:val="multilevel"/>
    <w:tmpl w:val="A1F0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0A4904"/>
    <w:multiLevelType w:val="multilevel"/>
    <w:tmpl w:val="CF60114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047FC5"/>
    <w:multiLevelType w:val="multilevel"/>
    <w:tmpl w:val="F076A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4315B"/>
    <w:rsid w:val="0004315B"/>
    <w:rsid w:val="00471559"/>
    <w:rsid w:val="00993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pBdr>
        <w:top w:val="dotted" w:sz="8" w:space="2" w:color="C9D0E6"/>
        <w:left w:val="dotted" w:sz="8" w:space="2" w:color="C9D0E6"/>
        <w:bottom w:val="dotted" w:sz="8" w:space="2" w:color="C9D0E6"/>
        <w:right w:val="dotted" w:sz="8" w:space="2" w:color="C9D0E6"/>
      </w:pBdr>
      <w:shd w:val="clear" w:color="auto" w:fill="ECEEF6"/>
      <w:spacing w:line="240" w:lineRule="auto"/>
      <w:outlineLvl w:val="2"/>
    </w:pPr>
    <w:rPr>
      <w:rFonts w:ascii="Trebuchet MS" w:eastAsia="Trebuchet MS" w:hAnsi="Trebuchet MS" w:cs="Trebuchet MS"/>
      <w:b/>
      <w:sz w:val="29"/>
      <w:szCs w:val="29"/>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pBdr>
        <w:top w:val="dotted" w:sz="8" w:space="2" w:color="C9D0E6"/>
        <w:left w:val="dotted" w:sz="8" w:space="2" w:color="C9D0E6"/>
        <w:bottom w:val="dotted" w:sz="8" w:space="2" w:color="C9D0E6"/>
        <w:right w:val="dotted" w:sz="8" w:space="2" w:color="C9D0E6"/>
      </w:pBdr>
      <w:shd w:val="clear" w:color="auto" w:fill="ECEEF6"/>
      <w:spacing w:line="240" w:lineRule="auto"/>
      <w:outlineLvl w:val="2"/>
    </w:pPr>
    <w:rPr>
      <w:rFonts w:ascii="Trebuchet MS" w:eastAsia="Trebuchet MS" w:hAnsi="Trebuchet MS" w:cs="Trebuchet MS"/>
      <w:b/>
      <w:sz w:val="29"/>
      <w:szCs w:val="29"/>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vistabordes.com.ar/big-data-y-ciencias-sociales/" TargetMode="External"/><Relationship Id="rId3" Type="http://schemas.microsoft.com/office/2007/relationships/stylesWithEffects" Target="stylesWithEffects.xml"/><Relationship Id="rId7" Type="http://schemas.openxmlformats.org/officeDocument/2006/relationships/hyperlink" Target="http://papel.revistafibra.info/ciudadanias-digitales-cuando-la-riqueza-se-mide-da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ina12.com.ar/diario/elpais/1-236526-2013-12-2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15025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ELENA GENOLE</dc:creator>
  <cp:lastModifiedBy>SOLEDAD NOVELLE</cp:lastModifiedBy>
  <cp:revision>2</cp:revision>
  <dcterms:created xsi:type="dcterms:W3CDTF">2019-07-01T13:26:00Z</dcterms:created>
  <dcterms:modified xsi:type="dcterms:W3CDTF">2019-07-01T13:26:00Z</dcterms:modified>
</cp:coreProperties>
</file>