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103" w:rsidRDefault="00114D61">
      <w:pPr>
        <w:pStyle w:val="Textoindependiente"/>
        <w:ind w:left="2300"/>
        <w:rPr>
          <w:sz w:val="20"/>
        </w:rPr>
      </w:pPr>
      <w:bookmarkStart w:id="0" w:name="_GoBack"/>
      <w:bookmarkEnd w:id="0"/>
      <w:r>
        <w:rPr>
          <w:noProof/>
          <w:sz w:val="20"/>
          <w:lang w:val="es-AR" w:eastAsia="es-AR"/>
        </w:rPr>
        <w:drawing>
          <wp:inline distT="0" distB="0" distL="0" distR="0">
            <wp:extent cx="3194303" cy="69951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4303" cy="699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7103" w:rsidRDefault="008D7103">
      <w:pPr>
        <w:pStyle w:val="Textoindependiente"/>
        <w:spacing w:before="10"/>
        <w:rPr>
          <w:sz w:val="12"/>
        </w:rPr>
      </w:pPr>
    </w:p>
    <w:p w:rsidR="008D7103" w:rsidRPr="00114D61" w:rsidRDefault="00114D61">
      <w:pPr>
        <w:spacing w:before="67" w:line="229" w:lineRule="exact"/>
        <w:ind w:left="1035" w:right="1026"/>
        <w:jc w:val="center"/>
        <w:rPr>
          <w:rFonts w:ascii="Arial" w:hAnsi="Arial"/>
          <w:b/>
          <w:sz w:val="20"/>
          <w:lang w:val="es-AR"/>
        </w:rPr>
      </w:pPr>
      <w:r w:rsidRPr="00114D61">
        <w:rPr>
          <w:rFonts w:ascii="Arial" w:hAnsi="Arial"/>
          <w:b/>
          <w:sz w:val="20"/>
          <w:lang w:val="es-AR"/>
        </w:rPr>
        <w:t>Secretaría de Estudios Avanzados</w:t>
      </w:r>
    </w:p>
    <w:p w:rsidR="008D7103" w:rsidRPr="00114D61" w:rsidRDefault="00114D61">
      <w:pPr>
        <w:spacing w:line="229" w:lineRule="exact"/>
        <w:ind w:left="1035" w:right="1027"/>
        <w:jc w:val="center"/>
        <w:rPr>
          <w:rFonts w:ascii="Arial" w:hAnsi="Arial"/>
          <w:b/>
          <w:sz w:val="20"/>
          <w:lang w:val="es-AR"/>
        </w:rPr>
      </w:pPr>
      <w:r w:rsidRPr="00114D61">
        <w:rPr>
          <w:rFonts w:ascii="Arial" w:hAnsi="Arial"/>
          <w:b/>
          <w:sz w:val="20"/>
          <w:lang w:val="es-AR"/>
        </w:rPr>
        <w:t>Subsecretaría de Estudios Avanzados, Maestrías y Carreras de Especialización</w:t>
      </w:r>
    </w:p>
    <w:p w:rsidR="008D7103" w:rsidRPr="00114D61" w:rsidRDefault="008D7103">
      <w:pPr>
        <w:pStyle w:val="Textoindependiente"/>
        <w:spacing w:before="7"/>
        <w:rPr>
          <w:rFonts w:ascii="Arial"/>
          <w:b/>
          <w:sz w:val="28"/>
          <w:lang w:val="es-AR"/>
        </w:rPr>
      </w:pPr>
    </w:p>
    <w:p w:rsidR="008D7103" w:rsidRPr="00114D61" w:rsidRDefault="00114D61">
      <w:pPr>
        <w:ind w:left="1035" w:right="1022"/>
        <w:jc w:val="center"/>
        <w:rPr>
          <w:rFonts w:ascii="Arial" w:hAnsi="Arial"/>
          <w:b/>
          <w:sz w:val="32"/>
          <w:lang w:val="es-AR"/>
        </w:rPr>
      </w:pPr>
      <w:r w:rsidRPr="00114D61">
        <w:rPr>
          <w:rFonts w:ascii="Arial" w:hAnsi="Arial"/>
          <w:b/>
          <w:w w:val="95"/>
          <w:sz w:val="32"/>
          <w:lang w:val="es-AR"/>
        </w:rPr>
        <w:t>Programa de Seminario de Especialización</w:t>
      </w:r>
    </w:p>
    <w:p w:rsidR="008D7103" w:rsidRPr="00114D61" w:rsidRDefault="008D7103">
      <w:pPr>
        <w:pStyle w:val="Textoindependiente"/>
        <w:rPr>
          <w:rFonts w:ascii="Arial"/>
          <w:b/>
          <w:sz w:val="32"/>
          <w:lang w:val="es-AR"/>
        </w:rPr>
      </w:pPr>
    </w:p>
    <w:p w:rsidR="008D7103" w:rsidRPr="00114D61" w:rsidRDefault="00114D61">
      <w:pPr>
        <w:ind w:left="1035" w:right="1023"/>
        <w:jc w:val="center"/>
        <w:rPr>
          <w:rFonts w:ascii="Arial" w:hAnsi="Arial"/>
          <w:b/>
          <w:sz w:val="28"/>
          <w:lang w:val="es-AR"/>
        </w:rPr>
      </w:pPr>
      <w:r>
        <w:rPr>
          <w:noProof/>
          <w:lang w:val="es-AR" w:eastAsia="es-AR"/>
        </w:rPr>
        <w:drawing>
          <wp:anchor distT="0" distB="0" distL="0" distR="0" simplePos="0" relativeHeight="268434431" behindDoc="1" locked="0" layoutInCell="1" allowOverlap="1">
            <wp:simplePos x="0" y="0"/>
            <wp:positionH relativeFrom="page">
              <wp:posOffset>923544</wp:posOffset>
            </wp:positionH>
            <wp:positionV relativeFrom="paragraph">
              <wp:posOffset>223153</wp:posOffset>
            </wp:positionV>
            <wp:extent cx="1975104" cy="999744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5104" cy="999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14D61">
        <w:rPr>
          <w:rFonts w:ascii="Arial" w:hAnsi="Arial"/>
          <w:b/>
          <w:sz w:val="28"/>
          <w:lang w:val="es-AR"/>
        </w:rPr>
        <w:t>Año: 2019</w:t>
      </w:r>
    </w:p>
    <w:p w:rsidR="008D7103" w:rsidRPr="00114D61" w:rsidRDefault="008D7103">
      <w:pPr>
        <w:pStyle w:val="Textoindependiente"/>
        <w:rPr>
          <w:rFonts w:ascii="Arial"/>
          <w:b/>
          <w:sz w:val="28"/>
          <w:lang w:val="es-AR"/>
        </w:rPr>
      </w:pPr>
    </w:p>
    <w:p w:rsidR="008D7103" w:rsidRPr="00114D61" w:rsidRDefault="008D7103">
      <w:pPr>
        <w:pStyle w:val="Textoindependiente"/>
        <w:spacing w:before="10"/>
        <w:rPr>
          <w:rFonts w:ascii="Arial"/>
          <w:b/>
          <w:sz w:val="29"/>
          <w:lang w:val="es-AR"/>
        </w:rPr>
      </w:pPr>
    </w:p>
    <w:p w:rsidR="008D7103" w:rsidRDefault="00114D61">
      <w:pPr>
        <w:pStyle w:val="Ttulo1"/>
        <w:spacing w:line="480" w:lineRule="auto"/>
        <w:ind w:left="121" w:right="2479" w:firstLine="0"/>
      </w:pPr>
      <w:r w:rsidRPr="00114D61">
        <w:rPr>
          <w:lang w:val="es-AR"/>
        </w:rPr>
        <w:t xml:space="preserve">Tensiones y Conflictos en la construcción de la agenda inter-regional Lic. </w:t>
      </w:r>
      <w:r>
        <w:t>Gabriel Puricelli Yáñez</w:t>
      </w:r>
    </w:p>
    <w:p w:rsidR="008D7103" w:rsidRDefault="00114D61">
      <w:pPr>
        <w:pStyle w:val="Prrafodelista"/>
        <w:numPr>
          <w:ilvl w:val="0"/>
          <w:numId w:val="1"/>
        </w:numPr>
        <w:tabs>
          <w:tab w:val="left" w:pos="840"/>
          <w:tab w:val="left" w:pos="842"/>
        </w:tabs>
        <w:ind w:firstLine="3"/>
        <w:rPr>
          <w:b/>
          <w:sz w:val="24"/>
        </w:rPr>
      </w:pPr>
      <w:r>
        <w:rPr>
          <w:b/>
          <w:sz w:val="24"/>
        </w:rPr>
        <w:t>Fundamentación:</w:t>
      </w:r>
    </w:p>
    <w:p w:rsidR="008D7103" w:rsidRDefault="008D7103">
      <w:pPr>
        <w:pStyle w:val="Textoindependiente"/>
        <w:spacing w:before="6"/>
        <w:rPr>
          <w:b/>
          <w:sz w:val="20"/>
        </w:rPr>
      </w:pPr>
    </w:p>
    <w:p w:rsidR="008D7103" w:rsidRPr="00114D61" w:rsidRDefault="00114D61">
      <w:pPr>
        <w:pStyle w:val="Textoindependiente"/>
        <w:ind w:left="121" w:right="175"/>
        <w:rPr>
          <w:lang w:val="es-AR"/>
        </w:rPr>
      </w:pPr>
      <w:r w:rsidRPr="00114D61">
        <w:rPr>
          <w:lang w:val="es-AR"/>
        </w:rPr>
        <w:t xml:space="preserve">La relación entre América del Sur y Europa ha sido decisiva para la conformación de los respectivos perfiles económicos y comerciales desde </w:t>
      </w:r>
      <w:r w:rsidRPr="00114D61">
        <w:rPr>
          <w:lang w:val="es-AR"/>
        </w:rPr>
        <w:t>antes aún de la conformación de los estados contemporáneos. Una adecuada comprensión de esta interacción en el presente y en el pasado reciente es por ello indispensable dentro de los estudios contemporáneos sobre ambas regiones.</w:t>
      </w:r>
    </w:p>
    <w:p w:rsidR="008D7103" w:rsidRPr="00114D61" w:rsidRDefault="008D7103">
      <w:pPr>
        <w:pStyle w:val="Textoindependiente"/>
        <w:spacing w:before="4"/>
        <w:rPr>
          <w:lang w:val="es-AR"/>
        </w:rPr>
      </w:pPr>
    </w:p>
    <w:p w:rsidR="008D7103" w:rsidRDefault="00114D61">
      <w:pPr>
        <w:pStyle w:val="Ttulo1"/>
        <w:numPr>
          <w:ilvl w:val="0"/>
          <w:numId w:val="1"/>
        </w:numPr>
        <w:tabs>
          <w:tab w:val="left" w:pos="840"/>
          <w:tab w:val="left" w:pos="842"/>
        </w:tabs>
        <w:spacing w:before="1"/>
        <w:ind w:firstLine="3"/>
      </w:pPr>
      <w:r>
        <w:t>Objetivos:</w:t>
      </w:r>
    </w:p>
    <w:p w:rsidR="008D7103" w:rsidRDefault="008D7103">
      <w:pPr>
        <w:pStyle w:val="Textoindependiente"/>
        <w:spacing w:before="6"/>
        <w:rPr>
          <w:b/>
          <w:sz w:val="23"/>
        </w:rPr>
      </w:pPr>
    </w:p>
    <w:p w:rsidR="008D7103" w:rsidRPr="00114D61" w:rsidRDefault="00114D61">
      <w:pPr>
        <w:pStyle w:val="Textoindependiente"/>
        <w:ind w:left="121" w:right="134"/>
        <w:rPr>
          <w:lang w:val="es-AR"/>
        </w:rPr>
      </w:pPr>
      <w:r w:rsidRPr="00114D61">
        <w:rPr>
          <w:lang w:val="es-AR"/>
        </w:rPr>
        <w:t>La Unión Europea y los espacios de integración comercial y de coordinación política de América del Sur son construcciones institucionales que se han desarrollado en paralelo a lo largo del tiempo y que han tenido y tienen entre sí relaciones de cooperación</w:t>
      </w:r>
      <w:r w:rsidRPr="00114D61">
        <w:rPr>
          <w:lang w:val="es-AR"/>
        </w:rPr>
        <w:t>, de emulación y de trato comercial. Este curso se propone sintetizar la historia y evolución de esos proyectos y las características institucionales que los definen, identificar los modos en que se han relacionado entre sí hasta ahora y precisar los aspec</w:t>
      </w:r>
      <w:r w:rsidRPr="00114D61">
        <w:rPr>
          <w:lang w:val="es-AR"/>
        </w:rPr>
        <w:t>tos particulares de las negociaciones entre ambas regiones, al tiempo que avanzan las negociaciones hacia un acuerdo bi-regional entre el Mercosur y la Unión Europea. El nivel de ambición de este posible acuerdo estará determinado por la mencionada histori</w:t>
      </w:r>
      <w:r w:rsidRPr="00114D61">
        <w:rPr>
          <w:lang w:val="es-AR"/>
        </w:rPr>
        <w:t>a, por las políticas que han echado raíces en ambas instituciones en el transcurso de la misma y por reticencias nacionales que también serán delineadas durante el curso.</w:t>
      </w:r>
    </w:p>
    <w:p w:rsidR="008D7103" w:rsidRPr="00114D61" w:rsidRDefault="008D7103">
      <w:pPr>
        <w:pStyle w:val="Textoindependiente"/>
        <w:spacing w:before="3"/>
        <w:rPr>
          <w:lang w:val="es-AR"/>
        </w:rPr>
      </w:pPr>
    </w:p>
    <w:p w:rsidR="008D7103" w:rsidRDefault="00114D61">
      <w:pPr>
        <w:pStyle w:val="Ttulo1"/>
        <w:numPr>
          <w:ilvl w:val="0"/>
          <w:numId w:val="1"/>
        </w:numPr>
        <w:tabs>
          <w:tab w:val="left" w:pos="840"/>
          <w:tab w:val="left" w:pos="842"/>
        </w:tabs>
        <w:ind w:firstLine="3"/>
      </w:pPr>
      <w:r>
        <w:t>Contenidos:</w:t>
      </w:r>
    </w:p>
    <w:p w:rsidR="008D7103" w:rsidRDefault="008D7103">
      <w:pPr>
        <w:pStyle w:val="Textoindependiente"/>
        <w:spacing w:before="7"/>
        <w:rPr>
          <w:b/>
          <w:sz w:val="23"/>
        </w:rPr>
      </w:pPr>
    </w:p>
    <w:p w:rsidR="008D7103" w:rsidRDefault="00114D61">
      <w:pPr>
        <w:ind w:left="121"/>
        <w:rPr>
          <w:i/>
          <w:sz w:val="24"/>
        </w:rPr>
      </w:pPr>
      <w:r>
        <w:rPr>
          <w:i/>
          <w:sz w:val="24"/>
        </w:rPr>
        <w:t>Unidad 1.</w:t>
      </w:r>
    </w:p>
    <w:p w:rsidR="008D7103" w:rsidRDefault="00114D61">
      <w:pPr>
        <w:pStyle w:val="Textoindependiente"/>
        <w:ind w:left="121"/>
      </w:pPr>
      <w:r w:rsidRPr="00114D61">
        <w:rPr>
          <w:lang w:val="es-AR"/>
        </w:rPr>
        <w:t xml:space="preserve">La arquitectura institucional de la Unión Europea: evolución y reformas. La Política Exterior y de Seguridad de la Unión Europea. </w:t>
      </w:r>
      <w:r>
        <w:t>Actores, Instituciones y Políticas Públicas en la Unión Europea.</w:t>
      </w:r>
    </w:p>
    <w:p w:rsidR="008D7103" w:rsidRDefault="008D7103">
      <w:pPr>
        <w:pStyle w:val="Textoindependiente"/>
      </w:pPr>
    </w:p>
    <w:p w:rsidR="008D7103" w:rsidRDefault="00114D61">
      <w:pPr>
        <w:ind w:left="121"/>
        <w:rPr>
          <w:i/>
          <w:sz w:val="24"/>
        </w:rPr>
      </w:pPr>
      <w:r>
        <w:rPr>
          <w:i/>
          <w:sz w:val="24"/>
        </w:rPr>
        <w:t>Unidad 2.</w:t>
      </w:r>
    </w:p>
    <w:p w:rsidR="008D7103" w:rsidRDefault="00114D61">
      <w:pPr>
        <w:pStyle w:val="Textoindependiente"/>
        <w:ind w:left="121" w:right="108"/>
        <w:jc w:val="both"/>
      </w:pPr>
      <w:r>
        <w:t>Historia de la integración latinoamericana. Arquit</w:t>
      </w:r>
      <w:r>
        <w:t xml:space="preserve">ectura institucional del Mercosur, su redefinición reciente, la constitución de una Alternativa Bolivariana para las Américas y la constitución de la Unasur como espacio de coordinación política, de infraestructura y defensa. La parálisis actual de Alba y </w:t>
      </w:r>
      <w:r>
        <w:t>Unasur. La crisis venezolana y los triunfos de Macri y Bolsonaro.</w:t>
      </w:r>
    </w:p>
    <w:p w:rsidR="008D7103" w:rsidRDefault="008D7103">
      <w:pPr>
        <w:jc w:val="both"/>
        <w:sectPr w:rsidR="008D7103">
          <w:type w:val="continuous"/>
          <w:pgSz w:w="11900" w:h="16840"/>
          <w:pgMar w:top="1140" w:right="960" w:bottom="0" w:left="1300" w:header="720" w:footer="720" w:gutter="0"/>
          <w:cols w:space="720"/>
        </w:sectPr>
      </w:pPr>
    </w:p>
    <w:p w:rsidR="008D7103" w:rsidRDefault="00114D61">
      <w:pPr>
        <w:spacing w:before="40"/>
        <w:ind w:left="118"/>
        <w:rPr>
          <w:i/>
          <w:sz w:val="24"/>
        </w:rPr>
      </w:pPr>
      <w:r>
        <w:rPr>
          <w:i/>
          <w:sz w:val="24"/>
        </w:rPr>
        <w:lastRenderedPageBreak/>
        <w:t>Unidad 3.</w:t>
      </w:r>
    </w:p>
    <w:p w:rsidR="008D7103" w:rsidRDefault="00114D61">
      <w:pPr>
        <w:pStyle w:val="Textoindependiente"/>
        <w:ind w:left="118" w:right="175"/>
      </w:pPr>
      <w:r>
        <w:t>Herramientas para la cooperación UE-América del Sur. Problemas y perspectivas de la Cooperación Europea hacia América del Sur.</w:t>
      </w:r>
    </w:p>
    <w:p w:rsidR="008D7103" w:rsidRDefault="008D7103">
      <w:pPr>
        <w:pStyle w:val="Textoindependiente"/>
      </w:pPr>
    </w:p>
    <w:p w:rsidR="008D7103" w:rsidRDefault="00114D61">
      <w:pPr>
        <w:spacing w:before="1"/>
        <w:ind w:left="118"/>
        <w:rPr>
          <w:i/>
          <w:sz w:val="24"/>
        </w:rPr>
      </w:pPr>
      <w:r>
        <w:rPr>
          <w:i/>
          <w:sz w:val="24"/>
        </w:rPr>
        <w:t>Unidad 4.</w:t>
      </w:r>
    </w:p>
    <w:p w:rsidR="008D7103" w:rsidRDefault="00114D61">
      <w:pPr>
        <w:pStyle w:val="Textoindependiente"/>
        <w:ind w:left="118" w:right="107"/>
        <w:jc w:val="both"/>
      </w:pPr>
      <w:r>
        <w:t>La negociación de un área de libre comercio Unión Europea-Mercosur. Voluntad política versus demandas sectoriales. Un viejo proyecto en el nuevo contexto de retracción del comercio mundial. ¿Qué hacer con esta iniciativa mientras se produce un “rebalanceo”</w:t>
      </w:r>
      <w:r>
        <w:t xml:space="preserve"> de la</w:t>
      </w:r>
      <w:r>
        <w:rPr>
          <w:spacing w:val="-20"/>
        </w:rPr>
        <w:t xml:space="preserve"> </w:t>
      </w:r>
      <w:r>
        <w:t>globalización?</w:t>
      </w:r>
    </w:p>
    <w:p w:rsidR="008D7103" w:rsidRDefault="008D7103">
      <w:pPr>
        <w:pStyle w:val="Textoindependiente"/>
        <w:spacing w:before="11"/>
        <w:rPr>
          <w:sz w:val="23"/>
        </w:rPr>
      </w:pPr>
    </w:p>
    <w:p w:rsidR="008D7103" w:rsidRDefault="00114D61">
      <w:pPr>
        <w:pStyle w:val="Textoindependiente"/>
        <w:ind w:left="118"/>
      </w:pPr>
      <w:r>
        <w:t>Unidad 5</w:t>
      </w:r>
    </w:p>
    <w:p w:rsidR="008D7103" w:rsidRDefault="00114D61">
      <w:pPr>
        <w:pStyle w:val="Textoindependiente"/>
        <w:ind w:left="118" w:right="175"/>
      </w:pPr>
      <w:r>
        <w:t>Las negociaciones y tensiones en la configuración de las agendas políticas y económicas del TLCAN: Trump, Lopez Obrador y Trudeau.</w:t>
      </w:r>
    </w:p>
    <w:p w:rsidR="008D7103" w:rsidRDefault="008D7103">
      <w:pPr>
        <w:pStyle w:val="Textoindependiente"/>
      </w:pPr>
    </w:p>
    <w:p w:rsidR="008D7103" w:rsidRDefault="00114D61">
      <w:pPr>
        <w:pStyle w:val="Textoindependiente"/>
        <w:ind w:left="118"/>
      </w:pPr>
      <w:r>
        <w:t>Unidad 6</w:t>
      </w:r>
    </w:p>
    <w:p w:rsidR="008D7103" w:rsidRDefault="00114D61">
      <w:pPr>
        <w:pStyle w:val="Textoindependiente"/>
        <w:ind w:left="118" w:right="91"/>
      </w:pPr>
      <w:r>
        <w:t>China y Asia en las políticas de cooperación Sur-Sur y en la reconfiguración de age</w:t>
      </w:r>
      <w:r>
        <w:t>ndas con otros grandes jugadores.</w:t>
      </w:r>
    </w:p>
    <w:p w:rsidR="008D7103" w:rsidRDefault="008D7103">
      <w:pPr>
        <w:pStyle w:val="Textoindependiente"/>
      </w:pPr>
    </w:p>
    <w:p w:rsidR="008D7103" w:rsidRDefault="008D7103">
      <w:pPr>
        <w:pStyle w:val="Textoindependiente"/>
        <w:spacing w:before="5"/>
      </w:pPr>
    </w:p>
    <w:p w:rsidR="008D7103" w:rsidRDefault="00114D61">
      <w:pPr>
        <w:pStyle w:val="Ttulo1"/>
        <w:numPr>
          <w:ilvl w:val="0"/>
          <w:numId w:val="1"/>
        </w:numPr>
        <w:tabs>
          <w:tab w:val="left" w:pos="838"/>
          <w:tab w:val="left" w:pos="839"/>
        </w:tabs>
        <w:ind w:left="838"/>
      </w:pPr>
      <w:r>
        <w:t>Metodología de</w:t>
      </w:r>
      <w:r>
        <w:rPr>
          <w:spacing w:val="-2"/>
        </w:rPr>
        <w:t xml:space="preserve"> </w:t>
      </w:r>
      <w:r>
        <w:t>trabajo:</w:t>
      </w:r>
    </w:p>
    <w:p w:rsidR="008D7103" w:rsidRDefault="008D7103">
      <w:pPr>
        <w:pStyle w:val="Textoindependiente"/>
        <w:spacing w:before="7"/>
        <w:rPr>
          <w:b/>
          <w:sz w:val="23"/>
        </w:rPr>
      </w:pPr>
    </w:p>
    <w:p w:rsidR="008D7103" w:rsidRDefault="00114D61">
      <w:pPr>
        <w:pStyle w:val="Textoindependiente"/>
        <w:ind w:left="118" w:right="412"/>
      </w:pPr>
      <w:r>
        <w:t>El curso se desarrollará en 6 sesiones siguiendo los lineamientos propios del formato de educación a distancia. Las clases se desarrollarán enteramente dentro del Campus Virtual de la Facultad de</w:t>
      </w:r>
      <w:r>
        <w:t xml:space="preserve"> Ciencias Sociales, utilizando la variada gama de dispositivos de comunicación y producción especialmente diseñados para favorecer la enseñanza a distancia.</w:t>
      </w:r>
    </w:p>
    <w:p w:rsidR="008D7103" w:rsidRDefault="008D7103">
      <w:pPr>
        <w:pStyle w:val="Textoindependiente"/>
      </w:pPr>
    </w:p>
    <w:p w:rsidR="008D7103" w:rsidRDefault="00114D61">
      <w:pPr>
        <w:pStyle w:val="Prrafodelista"/>
        <w:numPr>
          <w:ilvl w:val="0"/>
          <w:numId w:val="1"/>
        </w:numPr>
        <w:tabs>
          <w:tab w:val="left" w:pos="838"/>
          <w:tab w:val="left" w:pos="839"/>
        </w:tabs>
        <w:ind w:right="569" w:firstLine="0"/>
        <w:rPr>
          <w:sz w:val="24"/>
        </w:rPr>
      </w:pPr>
      <w:r>
        <w:rPr>
          <w:b/>
          <w:sz w:val="24"/>
        </w:rPr>
        <w:t xml:space="preserve">Evaluación: </w:t>
      </w:r>
      <w:r>
        <w:rPr>
          <w:sz w:val="24"/>
        </w:rPr>
        <w:t>Para aprobar el curso es necesario cumplir con a) los trabajos prácticos señalados par</w:t>
      </w:r>
      <w:r>
        <w:rPr>
          <w:sz w:val="24"/>
        </w:rPr>
        <w:t>a cada clase de acuerdo con el plan de curso diseñado por el/la docente y b) una actividad</w:t>
      </w:r>
      <w:r>
        <w:rPr>
          <w:spacing w:val="-1"/>
          <w:sz w:val="24"/>
        </w:rPr>
        <w:t xml:space="preserve"> </w:t>
      </w:r>
      <w:r>
        <w:rPr>
          <w:sz w:val="24"/>
        </w:rPr>
        <w:t>integradora.</w:t>
      </w:r>
    </w:p>
    <w:p w:rsidR="008D7103" w:rsidRDefault="008D7103">
      <w:pPr>
        <w:pStyle w:val="Textoindependiente"/>
        <w:spacing w:before="5"/>
      </w:pPr>
    </w:p>
    <w:p w:rsidR="008D7103" w:rsidRDefault="00114D61">
      <w:pPr>
        <w:pStyle w:val="Ttulo1"/>
        <w:numPr>
          <w:ilvl w:val="0"/>
          <w:numId w:val="1"/>
        </w:numPr>
        <w:tabs>
          <w:tab w:val="left" w:pos="838"/>
          <w:tab w:val="left" w:pos="839"/>
        </w:tabs>
        <w:ind w:left="838"/>
      </w:pPr>
      <w:r>
        <w:t>Bibliografía:</w:t>
      </w:r>
    </w:p>
    <w:p w:rsidR="008D7103" w:rsidRDefault="008D7103">
      <w:pPr>
        <w:pStyle w:val="Textoindependiente"/>
        <w:spacing w:before="6"/>
        <w:rPr>
          <w:b/>
          <w:sz w:val="23"/>
        </w:rPr>
      </w:pPr>
    </w:p>
    <w:p w:rsidR="008D7103" w:rsidRDefault="00114D61">
      <w:pPr>
        <w:spacing w:before="1"/>
        <w:ind w:left="118"/>
        <w:rPr>
          <w:i/>
          <w:sz w:val="24"/>
        </w:rPr>
      </w:pPr>
      <w:r>
        <w:rPr>
          <w:i/>
          <w:sz w:val="24"/>
          <w:u w:val="single"/>
        </w:rPr>
        <w:t>Obligatoria</w:t>
      </w:r>
    </w:p>
    <w:p w:rsidR="008D7103" w:rsidRDefault="008D7103">
      <w:pPr>
        <w:pStyle w:val="Textoindependiente"/>
        <w:spacing w:before="6"/>
        <w:rPr>
          <w:i/>
          <w:sz w:val="18"/>
        </w:rPr>
      </w:pPr>
    </w:p>
    <w:p w:rsidR="008D7103" w:rsidRDefault="00114D61">
      <w:pPr>
        <w:spacing w:before="63"/>
        <w:ind w:left="118" w:right="557"/>
        <w:rPr>
          <w:sz w:val="24"/>
        </w:rPr>
      </w:pPr>
      <w:r>
        <w:rPr>
          <w:b/>
          <w:sz w:val="24"/>
        </w:rPr>
        <w:t xml:space="preserve">Fernando Porta, Patricia Gutti, Ramiro Bertoni. </w:t>
      </w:r>
      <w:r>
        <w:rPr>
          <w:sz w:val="24"/>
        </w:rPr>
        <w:t>Integración económica. Buenos Aires: Centro Cultural de la Cooperación Floreal Gorini; Bernal: Universidad Nacional de Quilmes, 2012. Caps. 5, 6, 7 y 8.</w:t>
      </w:r>
    </w:p>
    <w:p w:rsidR="008D7103" w:rsidRDefault="008D7103">
      <w:pPr>
        <w:pStyle w:val="Textoindependiente"/>
      </w:pPr>
    </w:p>
    <w:p w:rsidR="008D7103" w:rsidRDefault="00114D61">
      <w:pPr>
        <w:ind w:left="118" w:right="149"/>
        <w:rPr>
          <w:sz w:val="24"/>
        </w:rPr>
      </w:pPr>
      <w:r>
        <w:rPr>
          <w:b/>
          <w:sz w:val="24"/>
        </w:rPr>
        <w:t xml:space="preserve">Adrián Makuc, Gabriela Duhalde, Ricardo Rozemberg. </w:t>
      </w:r>
      <w:r>
        <w:rPr>
          <w:sz w:val="24"/>
        </w:rPr>
        <w:t>La Negociación MERCOSUR-Unión Europea a Veinte Años</w:t>
      </w:r>
      <w:r>
        <w:rPr>
          <w:sz w:val="24"/>
        </w:rPr>
        <w:t xml:space="preserve"> del Acuerdo Marco de Cooperación: Quo Vadis? BID-INTAL, Buenos Aires, 2015.</w:t>
      </w:r>
    </w:p>
    <w:p w:rsidR="008D7103" w:rsidRDefault="008D7103">
      <w:pPr>
        <w:pStyle w:val="Textoindependiente"/>
      </w:pPr>
    </w:p>
    <w:p w:rsidR="008D7103" w:rsidRDefault="00114D61">
      <w:pPr>
        <w:pStyle w:val="Textoindependiente"/>
        <w:ind w:left="118" w:right="391"/>
      </w:pPr>
      <w:r>
        <w:rPr>
          <w:b/>
        </w:rPr>
        <w:t>Roberto Durán</w:t>
      </w:r>
      <w:r>
        <w:t>. Notas sobre las peculiaridades del bilateralismo latinoamericano-europeo. En Caetano, Gerardo (coordinador). Las negociaciones entre América Latina y el Caribe con</w:t>
      </w:r>
      <w:r>
        <w:t xml:space="preserve"> la Unión Europea. Posibilidades e incertidumbres en el 2010. CERIR, Montevideo, 2009.</w:t>
      </w:r>
    </w:p>
    <w:p w:rsidR="008D7103" w:rsidRDefault="008D7103">
      <w:pPr>
        <w:pStyle w:val="Textoindependiente"/>
      </w:pPr>
    </w:p>
    <w:p w:rsidR="008D7103" w:rsidRDefault="00114D61">
      <w:pPr>
        <w:pStyle w:val="Textoindependiente"/>
        <w:ind w:left="118" w:right="217"/>
      </w:pPr>
      <w:r>
        <w:rPr>
          <w:b/>
        </w:rPr>
        <w:t>Lorenza Sebesta</w:t>
      </w:r>
      <w:r>
        <w:t>. Los procesos de integración: actores internos y externos, in Josette Altmann y Francisco Rojas Aravena (eds), Las paradojas de la integración en Améric</w:t>
      </w:r>
      <w:r>
        <w:t>a Latina y el Caribe (Madrid: Fundación Carolina/Siglo XXI) 2008, pp. 175-189.</w:t>
      </w:r>
    </w:p>
    <w:p w:rsidR="008D7103" w:rsidRDefault="008D7103">
      <w:pPr>
        <w:pStyle w:val="Textoindependiente"/>
      </w:pPr>
    </w:p>
    <w:p w:rsidR="008D7103" w:rsidRDefault="00114D61">
      <w:pPr>
        <w:pStyle w:val="Textoindependiente"/>
        <w:ind w:left="118" w:right="175"/>
      </w:pPr>
      <w:r>
        <w:rPr>
          <w:b/>
        </w:rPr>
        <w:t xml:space="preserve">Dani Rodrik. </w:t>
      </w:r>
      <w:r>
        <w:t>The Trouble with Globalization. The Milken Institute Review, Fourth Quarter 2017, Santa Monica, 2017.</w:t>
      </w:r>
    </w:p>
    <w:p w:rsidR="008D7103" w:rsidRDefault="008D7103">
      <w:pPr>
        <w:pStyle w:val="Textoindependiente"/>
      </w:pPr>
    </w:p>
    <w:p w:rsidR="008D7103" w:rsidRDefault="00114D61">
      <w:pPr>
        <w:pStyle w:val="Textoindependiente"/>
        <w:ind w:left="118" w:right="787"/>
      </w:pPr>
      <w:r>
        <w:rPr>
          <w:b/>
        </w:rPr>
        <w:t>Arantza Gómez Arana</w:t>
      </w:r>
      <w:r>
        <w:t>. The European Union's policy towards Mer</w:t>
      </w:r>
      <w:r>
        <w:t>cosur: Responsive Not Strategic. Manchester University Press, Manchester, 2017.</w:t>
      </w:r>
    </w:p>
    <w:p w:rsidR="008D7103" w:rsidRDefault="008D7103">
      <w:pPr>
        <w:sectPr w:rsidR="008D7103">
          <w:pgSz w:w="11900" w:h="16840"/>
          <w:pgMar w:top="1360" w:right="960" w:bottom="280" w:left="1300" w:header="720" w:footer="720" w:gutter="0"/>
          <w:cols w:space="720"/>
        </w:sectPr>
      </w:pPr>
    </w:p>
    <w:p w:rsidR="008D7103" w:rsidRDefault="00114D61">
      <w:pPr>
        <w:pStyle w:val="Textoindependiente"/>
        <w:spacing w:before="40"/>
        <w:ind w:left="118" w:right="135"/>
        <w:jc w:val="both"/>
      </w:pPr>
      <w:r>
        <w:rPr>
          <w:b/>
        </w:rPr>
        <w:lastRenderedPageBreak/>
        <w:t xml:space="preserve">Gerardo Caetano, Ignacio Bartesaghi. </w:t>
      </w:r>
      <w:r>
        <w:t xml:space="preserve">La agenda externa del Mercosur y las negociaciones con la Unión Europea: ¿la última oportunidad? Aldea Mundo, 19 (37), 9-24, </w:t>
      </w:r>
      <w:r>
        <w:t>Editorial Universidad de los Andes, 2014.</w:t>
      </w:r>
    </w:p>
    <w:p w:rsidR="008D7103" w:rsidRDefault="008D7103">
      <w:pPr>
        <w:pStyle w:val="Textoindependiente"/>
      </w:pPr>
    </w:p>
    <w:p w:rsidR="008D7103" w:rsidRDefault="00114D61">
      <w:pPr>
        <w:pStyle w:val="Textoindependiente"/>
        <w:spacing w:before="1"/>
        <w:ind w:left="118" w:right="885"/>
      </w:pPr>
      <w:r>
        <w:rPr>
          <w:b/>
        </w:rPr>
        <w:t xml:space="preserve">Robert Boyer. </w:t>
      </w:r>
      <w:r>
        <w:t>Integración productiva y financiera en la Unión Europea. De la sinergia al conflicto. Puente @ Europa, Buenos Aires, 2010.</w:t>
      </w:r>
    </w:p>
    <w:p w:rsidR="008D7103" w:rsidRDefault="008D7103">
      <w:pPr>
        <w:pStyle w:val="Textoindependiente"/>
        <w:spacing w:before="11"/>
        <w:rPr>
          <w:sz w:val="23"/>
        </w:rPr>
      </w:pPr>
    </w:p>
    <w:p w:rsidR="008D7103" w:rsidRDefault="00114D61">
      <w:pPr>
        <w:pStyle w:val="Textoindependiente"/>
        <w:ind w:left="118" w:right="617"/>
      </w:pPr>
      <w:r>
        <w:rPr>
          <w:b/>
        </w:rPr>
        <w:t xml:space="preserve">Patrizio Bianchi. </w:t>
      </w:r>
      <w:r>
        <w:t>Construir el mercado. Lecciones de la Unión Europea: el desarrollo de la instituciones y de las políticas de competitividad, Universidad Nacional de Quilmes, Buenos Aires, 1997. Cap. 3 y 4.</w:t>
      </w:r>
    </w:p>
    <w:p w:rsidR="008D7103" w:rsidRDefault="008D7103">
      <w:pPr>
        <w:pStyle w:val="Textoindependiente"/>
      </w:pPr>
    </w:p>
    <w:p w:rsidR="008D7103" w:rsidRDefault="00114D61">
      <w:pPr>
        <w:pStyle w:val="Textoindependiente"/>
        <w:ind w:left="118" w:right="175"/>
      </w:pPr>
      <w:r>
        <w:rPr>
          <w:b/>
        </w:rPr>
        <w:t>José Briceño Ruiz</w:t>
      </w:r>
      <w:r>
        <w:t>. Ejes y modelos en la etapa actual de la integr</w:t>
      </w:r>
      <w:r>
        <w:t>ación económica regional en América Latina. Estudios Internacionales, 45, Santiago, 2013.</w:t>
      </w:r>
    </w:p>
    <w:p w:rsidR="008D7103" w:rsidRDefault="008D7103">
      <w:pPr>
        <w:pStyle w:val="Textoindependiente"/>
      </w:pPr>
    </w:p>
    <w:p w:rsidR="008D7103" w:rsidRDefault="00114D61">
      <w:pPr>
        <w:ind w:left="118" w:right="175"/>
        <w:rPr>
          <w:sz w:val="24"/>
        </w:rPr>
      </w:pPr>
      <w:r>
        <w:rPr>
          <w:b/>
          <w:sz w:val="24"/>
        </w:rPr>
        <w:t xml:space="preserve">Roberto Bouzas, Pedro da Motta Veiga, Sandra Rios. </w:t>
      </w:r>
      <w:r>
        <w:rPr>
          <w:sz w:val="24"/>
        </w:rPr>
        <w:t>Crisis y Perspectivas de la Integración en América del Sur</w:t>
      </w:r>
      <w:r>
        <w:rPr>
          <w:b/>
          <w:sz w:val="24"/>
        </w:rPr>
        <w:t xml:space="preserve">, en RICARDO LAGOS (comp.). </w:t>
      </w:r>
      <w:r>
        <w:rPr>
          <w:sz w:val="24"/>
        </w:rPr>
        <w:t>América Latina: ¿Integración</w:t>
      </w:r>
      <w:r>
        <w:rPr>
          <w:sz w:val="24"/>
        </w:rPr>
        <w:t xml:space="preserve"> o Fragmentación?</w:t>
      </w:r>
    </w:p>
    <w:p w:rsidR="008D7103" w:rsidRDefault="00114D61">
      <w:pPr>
        <w:pStyle w:val="Textoindependiente"/>
        <w:ind w:left="118"/>
      </w:pPr>
      <w:r>
        <w:t>Edhasa, Buenos Aires, 2008.</w:t>
      </w:r>
    </w:p>
    <w:p w:rsidR="008D7103" w:rsidRDefault="008D7103">
      <w:pPr>
        <w:pStyle w:val="Textoindependiente"/>
      </w:pPr>
    </w:p>
    <w:p w:rsidR="008D7103" w:rsidRDefault="00114D61">
      <w:pPr>
        <w:ind w:left="118"/>
        <w:rPr>
          <w:i/>
          <w:sz w:val="24"/>
        </w:rPr>
      </w:pPr>
      <w:r>
        <w:rPr>
          <w:i/>
          <w:sz w:val="24"/>
          <w:u w:val="single"/>
        </w:rPr>
        <w:t>De referencia</w:t>
      </w:r>
    </w:p>
    <w:p w:rsidR="008D7103" w:rsidRDefault="008D7103">
      <w:pPr>
        <w:pStyle w:val="Textoindependiente"/>
        <w:spacing w:before="7"/>
        <w:rPr>
          <w:i/>
          <w:sz w:val="18"/>
        </w:rPr>
      </w:pPr>
    </w:p>
    <w:p w:rsidR="008D7103" w:rsidRDefault="00114D61">
      <w:pPr>
        <w:pStyle w:val="Textoindependiente"/>
        <w:spacing w:before="62"/>
        <w:ind w:left="118" w:right="134"/>
      </w:pPr>
      <w:r>
        <w:rPr>
          <w:b/>
        </w:rPr>
        <w:t>Sergio Fabbrini, Andrés Malamud</w:t>
      </w:r>
      <w:r>
        <w:t>. Le organizzazioni regionali e l'integrazione economica. En Le organizzazioni internazionali: struttura, funzioni, impatto. Il Mulino, Roma, 2013.</w:t>
      </w:r>
    </w:p>
    <w:p w:rsidR="008D7103" w:rsidRDefault="008D7103">
      <w:pPr>
        <w:pStyle w:val="Textoindependiente"/>
      </w:pPr>
    </w:p>
    <w:p w:rsidR="008D7103" w:rsidRDefault="00114D61">
      <w:pPr>
        <w:pStyle w:val="Textoindependiente"/>
        <w:ind w:left="118" w:right="310"/>
      </w:pPr>
      <w:r>
        <w:rPr>
          <w:b/>
        </w:rPr>
        <w:t>Juan Mario Vac</w:t>
      </w:r>
      <w:r>
        <w:rPr>
          <w:b/>
        </w:rPr>
        <w:t xml:space="preserve">chino. </w:t>
      </w:r>
      <w:r>
        <w:t>Organismos latinoamericanos de integración: evolución y perspectivas, en Luciano Tomassino (comp.), Nuevas formas de concertación regional en América Latina, GEL, Buenos Aires 1990.</w:t>
      </w:r>
    </w:p>
    <w:p w:rsidR="008D7103" w:rsidRDefault="008D7103">
      <w:pPr>
        <w:pStyle w:val="Textoindependiente"/>
      </w:pPr>
    </w:p>
    <w:p w:rsidR="008D7103" w:rsidRDefault="00114D61">
      <w:pPr>
        <w:spacing w:before="1"/>
        <w:ind w:left="118" w:right="175"/>
        <w:rPr>
          <w:sz w:val="24"/>
        </w:rPr>
      </w:pPr>
      <w:r>
        <w:rPr>
          <w:b/>
          <w:sz w:val="24"/>
        </w:rPr>
        <w:t xml:space="preserve">Jagdish Bhagwati. </w:t>
      </w:r>
      <w:r>
        <w:rPr>
          <w:sz w:val="24"/>
        </w:rPr>
        <w:t>Regionalism and multilateralism. An overview, en</w:t>
      </w:r>
      <w:r>
        <w:rPr>
          <w:sz w:val="24"/>
        </w:rPr>
        <w:t xml:space="preserve"> </w:t>
      </w:r>
      <w:r>
        <w:rPr>
          <w:b/>
          <w:sz w:val="24"/>
        </w:rPr>
        <w:t xml:space="preserve">Jaime De Melo, Arvind Panagariya. </w:t>
      </w:r>
      <w:r>
        <w:rPr>
          <w:sz w:val="24"/>
        </w:rPr>
        <w:t>New Dimensions in Regional Integration, Cambridge University Press, 1993.</w:t>
      </w:r>
    </w:p>
    <w:sectPr w:rsidR="008D7103">
      <w:pgSz w:w="11900" w:h="16840"/>
      <w:pgMar w:top="1360" w:right="9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94CC6"/>
    <w:multiLevelType w:val="hybridMultilevel"/>
    <w:tmpl w:val="1C007336"/>
    <w:lvl w:ilvl="0" w:tplc="38823980">
      <w:start w:val="1"/>
      <w:numFmt w:val="decimal"/>
      <w:lvlText w:val="%1."/>
      <w:lvlJc w:val="left"/>
      <w:pPr>
        <w:ind w:left="118" w:hanging="72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6F7EA014">
      <w:numFmt w:val="bullet"/>
      <w:lvlText w:val="•"/>
      <w:lvlJc w:val="left"/>
      <w:pPr>
        <w:ind w:left="1072" w:hanging="720"/>
      </w:pPr>
      <w:rPr>
        <w:rFonts w:hint="default"/>
      </w:rPr>
    </w:lvl>
    <w:lvl w:ilvl="2" w:tplc="9E20C3A0">
      <w:numFmt w:val="bullet"/>
      <w:lvlText w:val="•"/>
      <w:lvlJc w:val="left"/>
      <w:pPr>
        <w:ind w:left="2024" w:hanging="720"/>
      </w:pPr>
      <w:rPr>
        <w:rFonts w:hint="default"/>
      </w:rPr>
    </w:lvl>
    <w:lvl w:ilvl="3" w:tplc="654A2D16">
      <w:numFmt w:val="bullet"/>
      <w:lvlText w:val="•"/>
      <w:lvlJc w:val="left"/>
      <w:pPr>
        <w:ind w:left="2976" w:hanging="720"/>
      </w:pPr>
      <w:rPr>
        <w:rFonts w:hint="default"/>
      </w:rPr>
    </w:lvl>
    <w:lvl w:ilvl="4" w:tplc="EA066B16">
      <w:numFmt w:val="bullet"/>
      <w:lvlText w:val="•"/>
      <w:lvlJc w:val="left"/>
      <w:pPr>
        <w:ind w:left="3928" w:hanging="720"/>
      </w:pPr>
      <w:rPr>
        <w:rFonts w:hint="default"/>
      </w:rPr>
    </w:lvl>
    <w:lvl w:ilvl="5" w:tplc="A4D4F518">
      <w:numFmt w:val="bullet"/>
      <w:lvlText w:val="•"/>
      <w:lvlJc w:val="left"/>
      <w:pPr>
        <w:ind w:left="4880" w:hanging="720"/>
      </w:pPr>
      <w:rPr>
        <w:rFonts w:hint="default"/>
      </w:rPr>
    </w:lvl>
    <w:lvl w:ilvl="6" w:tplc="649AC268">
      <w:numFmt w:val="bullet"/>
      <w:lvlText w:val="•"/>
      <w:lvlJc w:val="left"/>
      <w:pPr>
        <w:ind w:left="5832" w:hanging="720"/>
      </w:pPr>
      <w:rPr>
        <w:rFonts w:hint="default"/>
      </w:rPr>
    </w:lvl>
    <w:lvl w:ilvl="7" w:tplc="C78E21F4">
      <w:numFmt w:val="bullet"/>
      <w:lvlText w:val="•"/>
      <w:lvlJc w:val="left"/>
      <w:pPr>
        <w:ind w:left="6784" w:hanging="720"/>
      </w:pPr>
      <w:rPr>
        <w:rFonts w:hint="default"/>
      </w:rPr>
    </w:lvl>
    <w:lvl w:ilvl="8" w:tplc="E326E012">
      <w:numFmt w:val="bullet"/>
      <w:lvlText w:val="•"/>
      <w:lvlJc w:val="left"/>
      <w:pPr>
        <w:ind w:left="7736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103"/>
    <w:rsid w:val="00114D61"/>
    <w:rsid w:val="008D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118" w:firstLine="3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18" w:firstLine="3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114D6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4D6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118" w:firstLine="3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18" w:firstLine="3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114D6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4D6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948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Puricelli</vt:lpstr>
    </vt:vector>
  </TitlesOfParts>
  <Company/>
  <LinksUpToDate>false</LinksUpToDate>
  <CharactersWithSpaces>6150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Puricelli</dc:title>
  <dc:creator>25131150</dc:creator>
  <cp:lastModifiedBy>SOLEDAD NOVELLE</cp:lastModifiedBy>
  <cp:revision>2</cp:revision>
  <dcterms:created xsi:type="dcterms:W3CDTF">2019-07-12T15:20:00Z</dcterms:created>
  <dcterms:modified xsi:type="dcterms:W3CDTF">2019-07-12T15:20:00Z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2019-07-11T00:00:00Z</vt:filetime>
  </property>
  <property fmtid="{D5CDD505-2E9C-101B-9397-08002B2CF9AE}" pid="3" name="Creator">
    <vt:lpwstr>PDFCreator 2.5.1.5</vt:lpwstr>
  </property>
  <property fmtid="{D5CDD505-2E9C-101B-9397-08002B2CF9AE}" pid="4" name="LastSaved">
    <vt:filetime>2019-07-12T00:00:00Z</vt:filetime>
  </property>
</Properties>
</file>