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9C83" w14:textId="77777777" w:rsidR="00F2149E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 xml:space="preserve">Maestría en </w:t>
      </w:r>
      <w:r w:rsidR="00C349B2">
        <w:rPr>
          <w:rFonts w:ascii="Teko" w:eastAsia="Teko" w:hAnsi="Teko" w:cs="Teko"/>
          <w:b/>
          <w:sz w:val="40"/>
          <w:szCs w:val="40"/>
        </w:rPr>
        <w:t>Estudios Sociales Latinoamericanos</w:t>
      </w:r>
      <w:r>
        <w:rPr>
          <w:rFonts w:ascii="Teko" w:eastAsia="Teko" w:hAnsi="Teko" w:cs="Teko"/>
          <w:b/>
          <w:sz w:val="40"/>
          <w:szCs w:val="40"/>
        </w:rPr>
        <w:t>– Ciclo lectivo 2020</w:t>
      </w:r>
    </w:p>
    <w:p w14:paraId="65FF0F00" w14:textId="77777777" w:rsidR="00C349B2" w:rsidRDefault="00C349B2" w:rsidP="00C34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⁄•Ï˛" w:hAnsi="⁄•Ï˛" w:cs="⁄•Ï˛"/>
          <w:color w:val="00000A"/>
          <w:sz w:val="44"/>
          <w:szCs w:val="44"/>
          <w:lang w:val="en-US"/>
        </w:rPr>
      </w:pPr>
      <w:r>
        <w:rPr>
          <w:rFonts w:ascii="⁄•Ï˛" w:hAnsi="⁄•Ï˛" w:cs="⁄•Ï˛"/>
          <w:color w:val="00000A"/>
          <w:sz w:val="44"/>
          <w:szCs w:val="44"/>
          <w:lang w:val="en-US"/>
        </w:rPr>
        <w:t>AMÉRICA LATINA EN LA FORMACIÓN</w:t>
      </w:r>
    </w:p>
    <w:p w14:paraId="04EF62CC" w14:textId="77777777" w:rsidR="00F2149E" w:rsidRDefault="00C349B2" w:rsidP="00C349B2">
      <w:pPr>
        <w:jc w:val="center"/>
        <w:rPr>
          <w:b/>
          <w:sz w:val="28"/>
          <w:szCs w:val="28"/>
        </w:rPr>
      </w:pPr>
      <w:r>
        <w:rPr>
          <w:rFonts w:ascii="⁄•Ï˛" w:hAnsi="⁄•Ï˛" w:cs="⁄•Ï˛"/>
          <w:color w:val="00000A"/>
          <w:sz w:val="44"/>
          <w:szCs w:val="44"/>
          <w:lang w:val="en-US"/>
        </w:rPr>
        <w:t>DEL MUNDO MODERNO</w:t>
      </w:r>
    </w:p>
    <w:p w14:paraId="6EADDFE2" w14:textId="77777777"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8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14:paraId="1F72CEA6" w14:textId="77777777" w:rsidR="00F2149E" w:rsidRDefault="001A51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Docente(s)</w:t>
      </w:r>
    </w:p>
    <w:p w14:paraId="126E7F5D" w14:textId="77777777"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14:paraId="3418CA15" w14:textId="77777777" w:rsidR="00F2149E" w:rsidRDefault="00C349B2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⁄•Ï˛" w:hAnsi="⁄•Ï˛" w:cs="⁄•Ï˛"/>
          <w:color w:val="00000A"/>
          <w:sz w:val="40"/>
          <w:szCs w:val="40"/>
          <w:lang w:val="en-US"/>
        </w:rPr>
        <w:lastRenderedPageBreak/>
        <w:t>WALDO ANSALDI</w:t>
      </w:r>
      <w:r w:rsidR="001A5117">
        <w:rPr>
          <w:b/>
          <w:sz w:val="24"/>
          <w:szCs w:val="24"/>
        </w:rPr>
        <w:t xml:space="preserve"> </w:t>
      </w:r>
    </w:p>
    <w:p w14:paraId="360D636B" w14:textId="77777777" w:rsidR="00C349B2" w:rsidRPr="00C349B2" w:rsidRDefault="001A5117" w:rsidP="00C3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lang w:val="en-US"/>
        </w:rPr>
      </w:pPr>
      <w:r>
        <w:br w:type="column"/>
      </w:r>
      <w:r w:rsidR="00C349B2" w:rsidRPr="00C349B2">
        <w:rPr>
          <w:rFonts w:ascii="⁄•Ï˛" w:hAnsi="⁄•Ï˛" w:cs="⁄•Ï˛"/>
          <w:color w:val="00000A"/>
          <w:lang w:val="en-US"/>
        </w:rPr>
        <w:lastRenderedPageBreak/>
        <w:t xml:space="preserve">Doctor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Historia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(Universidad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Nacional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Córdoba),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pero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concepción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práctica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ha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devenido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un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latinoamericanista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híbrido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que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trabaja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recombinando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fragmentos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ciencia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política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,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historiografía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sociología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un campo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que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denomina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análisis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sociohistórico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crítico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procesos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larga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duración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.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8C55C4">
        <w:rPr>
          <w:rFonts w:ascii="⁄•Ï˛" w:hAnsi="⁄•Ï˛" w:cs="⁄•Ï˛"/>
          <w:color w:val="00000A"/>
          <w:lang w:val="en-US"/>
        </w:rPr>
        <w:t xml:space="preserve">Ha </w:t>
      </w:r>
      <w:proofErr w:type="spellStart"/>
      <w:r w:rsidR="008C55C4">
        <w:rPr>
          <w:rFonts w:ascii="⁄•Ï˛" w:hAnsi="⁄•Ï˛" w:cs="⁄•Ï˛"/>
          <w:color w:val="00000A"/>
          <w:lang w:val="en-US"/>
        </w:rPr>
        <w:t>investigado</w:t>
      </w:r>
      <w:proofErr w:type="spellEnd"/>
      <w:r w:rsidR="008C55C4">
        <w:rPr>
          <w:rFonts w:ascii="⁄•Ï˛" w:hAnsi="⁄•Ï˛" w:cs="⁄•Ï˛"/>
          <w:color w:val="00000A"/>
          <w:lang w:val="en-US"/>
        </w:rPr>
        <w:t xml:space="preserve"> y/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o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investiga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cuestiones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tales </w:t>
      </w:r>
      <w:proofErr w:type="spellStart"/>
      <w:proofErr w:type="gramStart"/>
      <w:r w:rsidR="00C349B2" w:rsidRPr="00C349B2">
        <w:rPr>
          <w:rFonts w:ascii="⁄•Ï˛" w:hAnsi="⁄•Ï˛" w:cs="⁄•Ï˛"/>
          <w:color w:val="00000A"/>
          <w:lang w:val="en-US"/>
        </w:rPr>
        <w:t>como</w:t>
      </w:r>
      <w:proofErr w:type="spellEnd"/>
      <w:proofErr w:type="gram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mecanismos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dominación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político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-social,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ciudadanía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derechos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humanos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dictaduras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democracias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violencia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política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.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Fue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Investigador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Principal del CONICET con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sede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en 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Instituto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Estudios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América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Latina y el Caribe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(IEALC)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Facultad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Ciencias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Sociales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la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Universidad de Buenos Aires, del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cual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fue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Director (2009-2011). </w:t>
      </w:r>
      <w:proofErr w:type="spellStart"/>
      <w:proofErr w:type="gramStart"/>
      <w:r w:rsidR="00C349B2" w:rsidRPr="00C349B2">
        <w:rPr>
          <w:rFonts w:ascii="⁄•Ï˛" w:hAnsi="⁄•Ï˛" w:cs="⁄•Ï˛"/>
          <w:color w:val="00000A"/>
          <w:lang w:val="en-US"/>
        </w:rPr>
        <w:t>Profesor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titular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consulto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misma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Facultad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.</w:t>
      </w:r>
      <w:proofErr w:type="gram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proofErr w:type="gramStart"/>
      <w:r w:rsidR="00C349B2" w:rsidRPr="00C349B2">
        <w:rPr>
          <w:rFonts w:ascii="⁄•Ï˛" w:hAnsi="⁄•Ï˛" w:cs="⁄•Ï˛"/>
          <w:color w:val="00000A"/>
          <w:lang w:val="en-US"/>
        </w:rPr>
        <w:t>Fue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Secretario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Ejecutivo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Adjunto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Consejo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Latinoamericano</w:t>
      </w:r>
      <w:proofErr w:type="spellEnd"/>
      <w:r w:rsidR="008C55C4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Ciencias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Sociales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(1977-1988).</w:t>
      </w:r>
      <w:proofErr w:type="gram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Ha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sido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profesor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grado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y/o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posgrado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varias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universidades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país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del exterior.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Fue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director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Maestría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Estudios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Sociales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para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América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Latina,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Universidad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Nacional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Santiago del Estero (1996-1999) y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Maestría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Estudios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Sociales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Latinoamericanos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Universidad de Buenos Aires (2011-2017). Entre 2005 y 2011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fue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Coordinador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Académico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la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Maestría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Procesos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Integración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Regional-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Mercosur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,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Universidad de Buenos Aires.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Actualmente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desde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2016,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Coordinador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Académico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la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Línea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Sociología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Doctorado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Estudios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Sociales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Latinoamericanos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, Universidad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Nacional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Córdoba. Ha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publicado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dieciséis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libros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autor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más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ciento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ochenta</w:t>
      </w:r>
      <w:proofErr w:type="spellEnd"/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artículos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y/o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capítulos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libros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publicados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en el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país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y en el exterior. </w:t>
      </w:r>
      <w:proofErr w:type="spellStart"/>
      <w:proofErr w:type="gramStart"/>
      <w:r w:rsidR="00C349B2" w:rsidRPr="00C349B2">
        <w:rPr>
          <w:rFonts w:ascii="⁄•Ï˛" w:hAnsi="⁄•Ï˛" w:cs="⁄•Ï˛"/>
          <w:color w:val="00000A"/>
          <w:lang w:val="en-US"/>
        </w:rPr>
        <w:t>Fundador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, en 2002, de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e-l@tina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.</w:t>
      </w:r>
      <w:proofErr w:type="gram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Revista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electrónica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de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estudios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 xml:space="preserve"> </w:t>
      </w:r>
      <w:proofErr w:type="spellStart"/>
      <w:r w:rsidR="00C349B2" w:rsidRPr="00C349B2">
        <w:rPr>
          <w:rFonts w:ascii="⁄•Ï˛" w:hAnsi="⁄•Ï˛" w:cs="⁄•Ï˛"/>
          <w:color w:val="00000A"/>
          <w:lang w:val="en-US"/>
        </w:rPr>
        <w:t>latinoamericanos</w:t>
      </w:r>
      <w:proofErr w:type="spellEnd"/>
      <w:r w:rsidR="00C349B2" w:rsidRPr="00C349B2">
        <w:rPr>
          <w:rFonts w:ascii="⁄•Ï˛" w:hAnsi="⁄•Ï˛" w:cs="⁄•Ï˛"/>
          <w:color w:val="00000A"/>
          <w:lang w:val="en-US"/>
        </w:rPr>
        <w:t>:</w:t>
      </w:r>
      <w:r w:rsidR="00C349B2">
        <w:rPr>
          <w:rFonts w:ascii="⁄•Ï˛" w:hAnsi="⁄•Ï˛" w:cs="⁄•Ï˛"/>
          <w:color w:val="00000A"/>
          <w:lang w:val="en-US"/>
        </w:rPr>
        <w:t xml:space="preserve"> </w:t>
      </w:r>
      <w:r w:rsidR="00C349B2" w:rsidRPr="00C349B2">
        <w:rPr>
          <w:rFonts w:ascii="⁄•Ï˛" w:hAnsi="⁄•Ï˛" w:cs="⁄•Ï˛"/>
          <w:color w:val="000000"/>
          <w:lang w:val="en-US"/>
        </w:rPr>
        <w:t>http://publicaciones.sociales.uba.ar/index</w:t>
      </w:r>
      <w:r w:rsidR="00C349B2" w:rsidRPr="00C349B2">
        <w:rPr>
          <w:rFonts w:ascii="⁄•Ï˛" w:hAnsi="⁄•Ï˛" w:cs="⁄•Ï˛"/>
          <w:color w:val="00000A"/>
          <w:lang w:val="en-US"/>
        </w:rPr>
        <w:t>.php/elatina/ index.</w:t>
      </w:r>
    </w:p>
    <w:p w14:paraId="3AABC6E7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6AFA6D3F" w14:textId="77777777" w:rsidR="00F2149E" w:rsidRDefault="00F2149E">
      <w:pPr>
        <w:spacing w:line="240" w:lineRule="auto"/>
        <w:jc w:val="both"/>
        <w:rPr>
          <w:sz w:val="28"/>
          <w:szCs w:val="28"/>
        </w:rPr>
        <w:sectPr w:rsidR="00F2149E" w:rsidSect="008C55C4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048" w:space="708"/>
            <w:col w:w="4746" w:space="0"/>
          </w:cols>
        </w:sectPr>
      </w:pPr>
    </w:p>
    <w:p w14:paraId="243E0838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7ACE0968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14:paraId="4D4BDC68" w14:textId="77777777" w:rsidR="00F2149E" w:rsidRPr="00C349B2" w:rsidRDefault="00C349B2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compleja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necesario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sociología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histórica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ese</w:t>
      </w:r>
      <w:proofErr w:type="spellEnd"/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procurando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tornar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comprensible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globalización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concebida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construcción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histórica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no reducible a un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fenómeno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aparentemente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reciente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</w:p>
    <w:p w14:paraId="725364E9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04532467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14:paraId="04A82A4F" w14:textId="77777777" w:rsidR="00523BC0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Ofrecer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sociología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histórica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ese</w:t>
      </w:r>
      <w:proofErr w:type="spellEnd"/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</w:t>
      </w:r>
      <w:proofErr w:type="spellEnd"/>
    </w:p>
    <w:p w14:paraId="426BD697" w14:textId="77777777" w:rsidR="00523BC0" w:rsidRDefault="00523BC0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Brindar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herramientas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tornar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comprensible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globalización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concebida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como</w:t>
      </w:r>
      <w:proofErr w:type="spellEnd"/>
      <w:proofErr w:type="gram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construcción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histórica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no reducible a un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fenómeno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aparentemente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reciente</w:t>
      </w:r>
      <w:proofErr w:type="spellEnd"/>
      <w:r w:rsidR="008C55C4"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</w:p>
    <w:p w14:paraId="3E143A0B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Mostrar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decisivo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papel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desempeñado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sobre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) en el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acumulación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originaria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su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dialéctica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</w:p>
    <w:p w14:paraId="29039402" w14:textId="77777777" w:rsidR="00F2149E" w:rsidRDefault="00C349B2">
      <w:pPr>
        <w:spacing w:line="240" w:lineRule="auto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ab/>
      </w:r>
    </w:p>
    <w:p w14:paraId="0951ECAB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14:paraId="26F10ABA" w14:textId="77777777" w:rsidR="00F2149E" w:rsidRPr="00C349B2" w:rsidRDefault="001A5117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sz w:val="24"/>
          <w:szCs w:val="24"/>
        </w:rPr>
        <w:t xml:space="preserve">Unidad 1. </w:t>
      </w:r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expansión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europeo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-occidental de los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siglos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XV y XVI. 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economíamundo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constitución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sistemas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coloniales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primera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fase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proceso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mundialización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o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globalización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capital). </w:t>
      </w:r>
      <w:proofErr w:type="spellStart"/>
      <w:proofErr w:type="gram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Invasión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conquista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colonización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su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papel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acumulación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originaria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capitalismo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</w:rPr>
        <w:tab/>
      </w:r>
    </w:p>
    <w:p w14:paraId="08355AAA" w14:textId="77777777" w:rsidR="00523BC0" w:rsidRDefault="00523BC0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E3DE1D" w14:textId="77777777" w:rsidR="00F2149E" w:rsidRPr="00523BC0" w:rsidRDefault="001A5117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sz w:val="24"/>
          <w:szCs w:val="24"/>
        </w:rPr>
        <w:t>Unidad 2.</w:t>
      </w:r>
      <w:r w:rsidR="00C349B2" w:rsidRP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El debate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sobre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carácter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sociedades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coloniales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americanas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: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¿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feudales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capitalistas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u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otras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formas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? </w:t>
      </w:r>
      <w:proofErr w:type="gram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Las matrices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societales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</w:p>
    <w:p w14:paraId="1DCCB469" w14:textId="77777777" w:rsidR="00523BC0" w:rsidRDefault="00523BC0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131EAA0" w14:textId="77777777" w:rsidR="00C349B2" w:rsidRDefault="001A5117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sz w:val="24"/>
          <w:szCs w:val="24"/>
        </w:rPr>
        <w:t>Unidad 3.</w:t>
      </w:r>
      <w:r w:rsidR="00C349B2">
        <w:rPr>
          <w:sz w:val="24"/>
          <w:szCs w:val="24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 en 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constitución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proyecto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Modernidad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, en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relación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con Europa y el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eurocentrismo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proofErr w:type="gram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Razón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instrumental y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razón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liberadora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importancia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independencias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latinoamericanas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en particular de la </w:t>
      </w:r>
      <w:proofErr w:type="spellStart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>revolución</w:t>
      </w:r>
      <w:proofErr w:type="spellEnd"/>
      <w:r w:rsidR="00C349B2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</w:t>
      </w:r>
    </w:p>
    <w:p w14:paraId="0302DBBD" w14:textId="77777777" w:rsidR="00F2149E" w:rsidRDefault="00C349B2" w:rsidP="00523BC0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Saint-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Domingue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liberalismo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latinoamericano</w:t>
      </w:r>
      <w:proofErr w:type="spellEnd"/>
    </w:p>
    <w:p w14:paraId="1FB48C72" w14:textId="77777777" w:rsidR="00F2149E" w:rsidRDefault="00F2149E" w:rsidP="00523BC0">
      <w:pPr>
        <w:spacing w:line="240" w:lineRule="auto"/>
        <w:jc w:val="both"/>
        <w:rPr>
          <w:b/>
          <w:sz w:val="28"/>
          <w:szCs w:val="28"/>
        </w:rPr>
      </w:pPr>
    </w:p>
    <w:p w14:paraId="6C7CC063" w14:textId="77777777" w:rsidR="00C349B2" w:rsidRPr="00523BC0" w:rsidRDefault="001A5117" w:rsidP="00523BC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</w:p>
    <w:p w14:paraId="08ED980B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Ansaldi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Waldo: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Cristóbal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Colón, un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falso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palomo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entre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equívocos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grandeza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C.E.Fi.Sa</w:t>
      </w:r>
      <w:proofErr w:type="spellEnd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.,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Centro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Filosóficos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Salta,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Año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II, Nº 2, Salta, 1992.[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en: http://geshal.sociales.uba.ar/files/2015/01/ANSALDI-Crist%C3%B3bal-Col%C3%B3n-unfalso-</w:t>
      </w:r>
    </w:p>
    <w:p w14:paraId="1DEE9E10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palomo.pdf</w:t>
      </w:r>
      <w:proofErr w:type="gramEnd"/>
    </w:p>
    <w:p w14:paraId="66328AE6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Ansaldi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Waldo y Giordano,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Verónica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Latina.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construcción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orden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Ariel,</w:t>
      </w:r>
    </w:p>
    <w:p w14:paraId="3C079782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Buenos Aires,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I: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colonia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disolución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dominación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oligárquica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</w:p>
    <w:p w14:paraId="0A4C3D08" w14:textId="77777777" w:rsidR="00523BC0" w:rsidRDefault="00523BC0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</w:p>
    <w:p w14:paraId="29CE177A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Arrighi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Giovanni: El largo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Dinero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poder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orígenes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nuestra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época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Akal, Madrid, 1999,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Introducción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caps.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 y II.</w:t>
      </w:r>
      <w:proofErr w:type="gramEnd"/>
    </w:p>
    <w:p w14:paraId="6267664E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lastRenderedPageBreak/>
        <w:t>Assadourian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Carlos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Sempat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sistema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economía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colonial.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mercado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interior.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Regiones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espacio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económico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Nueva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Imagen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México DF, 1983.</w:t>
      </w:r>
      <w:proofErr w:type="gramEnd"/>
    </w:p>
    <w:p w14:paraId="33CCA703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Assadourian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Carlos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Sempat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otros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producción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Cuadernos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Pasado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40, Córdoba, 1</w:t>
      </w:r>
      <w:r>
        <w:rPr>
          <w:rFonts w:ascii="⁄•Ï˛" w:hAnsi="⁄•Ï˛" w:cs="⁄•Ï˛"/>
          <w:color w:val="00000A"/>
          <w:sz w:val="17"/>
          <w:szCs w:val="17"/>
          <w:lang w:val="en-US"/>
        </w:rPr>
        <w:t xml:space="preserve">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1973.</w:t>
      </w:r>
    </w:p>
    <w:p w14:paraId="4D2FEE6A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Bagú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Sergio: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Economía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colonial: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Ensayo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comparada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Latina, Buenos Aires,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Ateneo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Buenos Aires, 1949. [Hay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más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reciente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: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Consejo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Nacional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Cultura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Artes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Editorial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Grijalbo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México DF, 1992].</w:t>
      </w:r>
    </w:p>
    <w:p w14:paraId="42DA278F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Bagú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Sergio: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Estructura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social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colonia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Ensayo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comparada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Latina,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Ateneo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Buenos Aires, 1952.</w:t>
      </w:r>
      <w:proofErr w:type="gramEnd"/>
    </w:p>
    <w:p w14:paraId="462C64A0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Bauer, Carlos Francisco: “La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huella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Haití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universal.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primigeneidad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Haití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e-l@tina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Revista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electrónica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[en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], Vol. 9, nº 34, Buenos Aires,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enero-marzo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2011, pp. 3-22.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&lt; http://iealc.sociales.uba.ar/files/2011/06/elatina34.pdf&gt;</w:t>
      </w:r>
    </w:p>
    <w:p w14:paraId="301D3980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Braudel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Fernand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Las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civilizaciones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actuales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económica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social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Tecnos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Madrid, 1ª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1966.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Hay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varias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reimpresiones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(la 6ª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1993).</w:t>
      </w:r>
    </w:p>
    <w:p w14:paraId="6C33A223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Carrera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Damas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Germán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(director) y Lombardi, John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codirector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General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Volumen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V. La crisis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estructural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implantadas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Ediciones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UNESCO y Editorial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Trotta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Madrid, 2003.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</w:p>
    <w:p w14:paraId="13E0133A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Domingues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José Mauricio: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contemporánea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Latina, CLACSO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 de Argentina, Buenos Aires, 2009.</w:t>
      </w:r>
    </w:p>
    <w:p w14:paraId="164E4AF3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Ferrer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Aldo: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globalización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Fondo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Cultura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Económica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Buenos Aires,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1996 y 2000, 2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volúmenes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</w:p>
    <w:p w14:paraId="549E0C91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Grüner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Eduardo: “La '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acumulación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originaria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',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crítica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razón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colonial y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esclavitud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en Hic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Rhodus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Crisis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polémica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controversias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n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.º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8,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junio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de 2015, pp. 11-21 (1ra. parte) y Hic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Rhodus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Crisis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polémica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controversias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n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.º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9,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diciembre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2015, pp. 79-91 (2da. parte).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 xml:space="preserve">http://publicaciones.sociales.uba.ar/index.php/hicrhodus/article/view/1207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y en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hyperlink r:id="rId9" w:history="1">
        <w:r w:rsidR="00523BC0" w:rsidRPr="00AE2DD2">
          <w:rPr>
            <w:rStyle w:val="Hyperlink"/>
            <w:rFonts w:ascii="⁄•Ï˛" w:hAnsi="⁄•Ï˛" w:cs="⁄•Ï˛"/>
            <w:sz w:val="24"/>
            <w:szCs w:val="24"/>
            <w:lang w:val="en-US"/>
          </w:rPr>
          <w:t>http://publicaciones.sociales.uba.ar/index.php/hicrhodus/article/view/1451</w:t>
        </w:r>
      </w:hyperlink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respectivamente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</w:p>
    <w:p w14:paraId="4E54EAAB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Grüner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Eduardo: “La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importancia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capítulo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XXIV de El capital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en Ideas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Izquierda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n</w:t>
      </w:r>
      <w:r>
        <w:rPr>
          <w:rFonts w:ascii="⁄•Ï˛" w:hAnsi="⁄•Ï˛" w:cs="⁄•Ï˛"/>
          <w:color w:val="00000A"/>
          <w:sz w:val="17"/>
          <w:szCs w:val="17"/>
          <w:lang w:val="en-US"/>
        </w:rPr>
        <w:t xml:space="preserve">o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18, Buenos Aires,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abril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2015.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en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http://www.laizquierdadiario.com/ideasdeizquierda/la-importancia-del-capitulo-xxiv-deel-capital-para-la-historia-latinoamericana/</w:t>
      </w:r>
    </w:p>
    <w:p w14:paraId="2ABB93B7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Grüner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Eduardo: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oscuridad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luces.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Capitalismo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cultura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revolución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Edhasa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Buenos Aires, 2010.</w:t>
      </w:r>
      <w:proofErr w:type="gramEnd"/>
    </w:p>
    <w:p w14:paraId="791E950A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Hobsbawm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Eric: La era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revolución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(1789-1848),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Editorial Labor, Barcelona, 1ª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ed.,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1989.</w:t>
      </w:r>
    </w:p>
    <w:p w14:paraId="25489E5D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Ianni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Octavio: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Teorías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globalización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Editores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Centro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Investigaciones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Interdisciplinarias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Ciencias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Humanidades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UNAM, México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DF, 4ª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1999.</w:t>
      </w:r>
    </w:p>
    <w:p w14:paraId="6DF027D4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Lander, Edgardo: “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Marxismo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eurocentrismo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colonialismo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Atilio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A. Boron, Javier</w:t>
      </w:r>
    </w:p>
    <w:p w14:paraId="3134EC3F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Amadeo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Sabrina González,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compiladores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teoría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marxista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hoy.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Problemas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perspectivas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CLACSO, Buenos Aires, 2006, pp. 209-243.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</w:t>
      </w:r>
    </w:p>
    <w:p w14:paraId="56580D05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FF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http://biblioteca.clacso.edu.ar/clac</w:t>
      </w:r>
      <w:r w:rsidR="00523BC0">
        <w:rPr>
          <w:rFonts w:ascii="⁄•Ï˛" w:hAnsi="⁄•Ï˛" w:cs="⁄•Ï˛"/>
          <w:color w:val="0000FF"/>
          <w:sz w:val="24"/>
          <w:szCs w:val="24"/>
          <w:lang w:val="en-US"/>
        </w:rPr>
        <w:t>so/se/20140424014720/Cuestiones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yhorizontes.pdf</w:t>
      </w:r>
    </w:p>
    <w:p w14:paraId="0AF85462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lastRenderedPageBreak/>
        <w:t>Lander, Edgardo: “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Pensamiento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crítico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impugnación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eurocentrismo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Revista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Sociología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n</w:t>
      </w:r>
      <w:r>
        <w:rPr>
          <w:rFonts w:ascii="⁄•Ï˛" w:hAnsi="⁄•Ï˛" w:cs="⁄•Ï˛"/>
          <w:color w:val="00000A"/>
          <w:sz w:val="17"/>
          <w:szCs w:val="17"/>
          <w:lang w:val="en-US"/>
        </w:rPr>
        <w:t xml:space="preserve">o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15, Santiago de Chile, 2001, pp. 13-25.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 xml:space="preserve">http://biblioteca.clacso.edu.ar/clacso/se/20140424014720/Cuestionesy </w:t>
      </w:r>
      <w:proofErr w:type="spellStart"/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horizontes</w:t>
      </w:r>
      <w:proofErr w:type="spellEnd"/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pdf</w:t>
      </w:r>
      <w:proofErr w:type="spellEnd"/>
      <w:proofErr w:type="gramEnd"/>
    </w:p>
    <w:p w14:paraId="73C9E5BA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Martínez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Peria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Juan Francisco: “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Haití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Revolución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olvidada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”,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e-l@tina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Revista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electrónica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latinoamericanos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[en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],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Volumen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7, nº 27, Buenos Aires,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abriljunio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2009, pp. 3-24,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http://iealc.sociales.uba.ar/files/2011/06/elatina27.pdf</w:t>
      </w:r>
    </w:p>
    <w:p w14:paraId="237EFE44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Marx, Karl: El capital.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Crítica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economía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política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Editores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México DF,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varias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I, vol. 3,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capítulo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XXIV, “La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llamada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acumulación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originaria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”.</w:t>
      </w:r>
      <w:proofErr w:type="gramEnd"/>
    </w:p>
    <w:p w14:paraId="59ED4D8B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Mörner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Magnus: “Las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características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Latinoamérica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contexto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universal”,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n° 5, Universidad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Nacional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Colombia,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Medellín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1998,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pp. 125-138.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http://cienciashumanasyeconomicas.medellin.unal.edu.co/revistas/historiaysociedad/images/default/files/hys/pdf/hys_05/hys_05_09_morner_magnus_caracteristicas_latinoamerica_contexto_historia_universal.pdf</w:t>
      </w:r>
    </w:p>
    <w:p w14:paraId="7FC4BB56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Polanyi, Karl: La gran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transformación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orígenes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políticos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económicos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nuestro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tiempo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Fondo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Cultura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Económica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México DF, 1ª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1992.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preferible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1</w:t>
      </w:r>
      <w:r>
        <w:rPr>
          <w:rFonts w:ascii="⁄•Ï˛" w:hAnsi="⁄•Ï˛" w:cs="⁄•Ï˛"/>
          <w:color w:val="00000A"/>
          <w:sz w:val="17"/>
          <w:szCs w:val="17"/>
          <w:lang w:val="en-US"/>
        </w:rPr>
        <w:t>a</w:t>
      </w:r>
      <w:r w:rsidR="00523BC0">
        <w:rPr>
          <w:rFonts w:ascii="⁄•Ï˛" w:hAnsi="⁄•Ï˛" w:cs="⁄•Ï˛"/>
          <w:color w:val="00000A"/>
          <w:sz w:val="17"/>
          <w:szCs w:val="17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edición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argentina</w:t>
      </w:r>
      <w:proofErr w:type="spellEnd"/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misma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editorial, Buenos Aires, 2007.</w:t>
      </w:r>
    </w:p>
    <w:p w14:paraId="3953DD62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Pease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García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Franklin (director)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Moya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Pons, Frank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codirector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General de</w:t>
      </w:r>
    </w:p>
    <w:p w14:paraId="6160DE47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Volumen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II.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El primer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contacto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formación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nuevas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sociedades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Ediciones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UNESCO y Editorial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Trotta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Madrid, 2002.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</w:p>
    <w:p w14:paraId="5C3C364A" w14:textId="77777777" w:rsidR="00C349B2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Quijano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Aníbal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Cuestiones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horizontes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dependencia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histórico-estructural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colonialidad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/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descolonialidad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poder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CLACSO, Buenos 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ires, 2014.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Disponible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línea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en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FF"/>
          <w:sz w:val="24"/>
          <w:szCs w:val="24"/>
          <w:lang w:val="en-US"/>
        </w:rPr>
        <w:t>http://biblioteca.clacso.edu.ar/clacso/se/20140424014720/Cuestionesyhorizontes.pdf</w:t>
      </w:r>
    </w:p>
    <w:p w14:paraId="0CFB8F53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Ribeiro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Darcy: Las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civilización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formación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causas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desarrollo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desigual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pueblos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americanos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Biblioteca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Ayacucho, Caracas, 1988.</w:t>
      </w:r>
      <w:proofErr w:type="gramEnd"/>
    </w:p>
    <w:p w14:paraId="29B61FD9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Tandeter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Enrique (director) e Hidalgo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Lehuedé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Jorge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codirector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Historia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General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América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Latina.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Volumen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IV.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Procesos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americanos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redefinición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colonial,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Ediciones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UNESCO y Editorial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Trotta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Madrid, 2000.</w:t>
      </w:r>
      <w:proofErr w:type="gramEnd"/>
    </w:p>
    <w:p w14:paraId="4AF08041" w14:textId="77777777" w:rsidR="00F2149E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Wallerstein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Immanuel: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moderno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sistema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mundial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XXI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Editores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3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, hay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varias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ediciones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Véanse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particularmente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: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I, caps.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6 y 7;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II, cap.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4;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tomo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III, cap.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4.</w:t>
      </w:r>
    </w:p>
    <w:p w14:paraId="07750ED7" w14:textId="77777777" w:rsidR="00523BC0" w:rsidRDefault="00523BC0" w:rsidP="00523BC0">
      <w:pPr>
        <w:spacing w:line="240" w:lineRule="auto"/>
        <w:jc w:val="both"/>
        <w:rPr>
          <w:b/>
          <w:sz w:val="28"/>
          <w:szCs w:val="28"/>
        </w:rPr>
      </w:pPr>
    </w:p>
    <w:p w14:paraId="30C6FDB0" w14:textId="77777777" w:rsidR="00F2149E" w:rsidRDefault="001A5117" w:rsidP="00523BC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14:paraId="5CFF0986" w14:textId="77777777" w:rsidR="00C349B2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desarrollará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modalidad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seminario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lo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cual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implicará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fuerte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dedicación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participación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lxs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maestrandxs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primera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se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expondrán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los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objetivos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explicitarán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sus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contenidos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mecanismos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trabajo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Introducción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siguient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es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se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trabajará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siguiente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manera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: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Lxs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maestrandxs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constituirán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equipos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trabajo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dos personas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tiene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14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menos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estudiantes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 o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son 15 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más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equipos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preparará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resumida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texto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indicado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profesores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ejercicio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expuesto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equipo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clase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generándose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luego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lastRenderedPageBreak/>
        <w:t xml:space="preserve">el debate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según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diferentes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lecturas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docente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 cargo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cierre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correspondientes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ejercicio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formato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digital.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En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última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se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hará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síntesis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temas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abordados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sesiones</w:t>
      </w:r>
      <w:proofErr w:type="spellEnd"/>
    </w:p>
    <w:p w14:paraId="3F1D498C" w14:textId="77777777" w:rsidR="00F2149E" w:rsidRPr="00523BC0" w:rsidRDefault="00C349B2" w:rsidP="0052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⁄•Ï˛" w:hAnsi="⁄•Ï˛" w:cs="⁄•Ï˛"/>
          <w:color w:val="00000A"/>
          <w:sz w:val="24"/>
          <w:szCs w:val="24"/>
          <w:lang w:val="en-US"/>
        </w:rPr>
      </w:pP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anteriores</w:t>
      </w:r>
      <w:proofErr w:type="spellEnd"/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que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combinará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intervención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estudiantes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el o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docente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 cargo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misma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evaluación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final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resultado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de: 1)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promedio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ejercicios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asociados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resumida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textos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analizados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 lo</w:t>
      </w:r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largo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sesiones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dos 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diez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inclusive, y 2)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calificación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ejercicio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resumen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analítico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suma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evaluaciones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-la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trabajo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asociado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la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trabajo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individual-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constituirá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100 %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calificación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final,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ponderándose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50 %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una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ellas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. </w:t>
      </w:r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Al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terminar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estudiantes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tendrán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ya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mitad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calificación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final,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aconsejándose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trabajo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individual -un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texto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breve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que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no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debería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superar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siete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(7) </w:t>
      </w:r>
      <w:bookmarkStart w:id="0" w:name="_GoBack"/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página</w:t>
      </w:r>
      <w:bookmarkEnd w:id="0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-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dentro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tiempo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más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próximo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posible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a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finalización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curso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(entre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dos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semanas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).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modalidad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evaluación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-de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eficacia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ya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comprobada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otras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experiencias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ambos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profesores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-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favorece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participación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activa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las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estudiantes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agiliza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</w:t>
      </w:r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evaluación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evita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producción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textos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largos (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tipo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monografía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ponencia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o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artículo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),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que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suelen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ser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causal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moras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prolongadas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  <w:proofErr w:type="gram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Las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características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los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ejercicios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presentación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resumida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y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resumen</w:t>
      </w:r>
      <w:proofErr w:type="spellEnd"/>
      <w:r w:rsidR="00523BC0"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analítico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están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especificadas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en el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Anexo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programa</w:t>
      </w:r>
      <w:proofErr w:type="spellEnd"/>
      <w:r>
        <w:rPr>
          <w:rFonts w:ascii="⁄•Ï˛" w:hAnsi="⁄•Ï˛" w:cs="⁄•Ï˛"/>
          <w:color w:val="00000A"/>
          <w:sz w:val="24"/>
          <w:szCs w:val="24"/>
          <w:lang w:val="en-US"/>
        </w:rPr>
        <w:t>.</w:t>
      </w:r>
    </w:p>
    <w:sectPr w:rsidR="00F2149E" w:rsidRPr="00523BC0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29A1" w14:textId="77777777" w:rsidR="00523BC0" w:rsidRDefault="00523BC0">
      <w:pPr>
        <w:spacing w:after="0" w:line="240" w:lineRule="auto"/>
      </w:pPr>
      <w:r>
        <w:separator/>
      </w:r>
    </w:p>
  </w:endnote>
  <w:endnote w:type="continuationSeparator" w:id="0">
    <w:p w14:paraId="4DBC09B5" w14:textId="77777777" w:rsidR="00523BC0" w:rsidRDefault="0052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⁄•Ï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60F7" w14:textId="77777777" w:rsidR="00523BC0" w:rsidRDefault="00523BC0">
      <w:pPr>
        <w:spacing w:after="0" w:line="240" w:lineRule="auto"/>
      </w:pPr>
      <w:r>
        <w:separator/>
      </w:r>
    </w:p>
  </w:footnote>
  <w:footnote w:type="continuationSeparator" w:id="0">
    <w:p w14:paraId="5E4240CF" w14:textId="77777777" w:rsidR="00523BC0" w:rsidRDefault="0052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4862" w14:textId="77777777" w:rsidR="00523BC0" w:rsidRDefault="00523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496E6B7C" wp14:editId="2C1E4FE9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74E332" w14:textId="77777777" w:rsidR="00523BC0" w:rsidRDefault="00523B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49E"/>
    <w:rsid w:val="001A5117"/>
    <w:rsid w:val="00523BC0"/>
    <w:rsid w:val="00760472"/>
    <w:rsid w:val="008C55C4"/>
    <w:rsid w:val="009A2FD5"/>
    <w:rsid w:val="00C349B2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A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publicaciones.sociales.uba.ar/index.php/hicrhodus/article/view/145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1779</Words>
  <Characters>10145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V G</cp:lastModifiedBy>
  <cp:revision>3</cp:revision>
  <dcterms:created xsi:type="dcterms:W3CDTF">2020-03-17T14:19:00Z</dcterms:created>
  <dcterms:modified xsi:type="dcterms:W3CDTF">2020-03-17T14:26:00Z</dcterms:modified>
</cp:coreProperties>
</file>