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9" w:rsidRDefault="001A5117">
      <w:pPr>
        <w:jc w:val="center"/>
        <w:rPr>
          <w:rFonts w:ascii="Teko" w:eastAsia="Teko" w:hAnsi="Teko" w:cs="Teko"/>
          <w:b/>
          <w:sz w:val="40"/>
          <w:szCs w:val="40"/>
        </w:rPr>
      </w:pPr>
      <w:bookmarkStart w:id="0" w:name="_GoBack"/>
      <w:bookmarkEnd w:id="0"/>
      <w:r>
        <w:rPr>
          <w:rFonts w:ascii="Teko" w:eastAsia="Teko" w:hAnsi="Teko" w:cs="Teko"/>
          <w:b/>
          <w:sz w:val="40"/>
          <w:szCs w:val="40"/>
        </w:rPr>
        <w:t>Maestría</w:t>
      </w:r>
      <w:r w:rsidR="0056679A">
        <w:rPr>
          <w:rFonts w:ascii="Teko" w:eastAsia="Teko" w:hAnsi="Teko" w:cs="Teko"/>
          <w:b/>
          <w:sz w:val="40"/>
          <w:szCs w:val="40"/>
        </w:rPr>
        <w:t xml:space="preserve"> en </w:t>
      </w:r>
      <w:r w:rsidR="00124919">
        <w:rPr>
          <w:rFonts w:ascii="Teko" w:eastAsia="Teko" w:hAnsi="Teko" w:cs="Teko"/>
          <w:b/>
          <w:sz w:val="40"/>
          <w:szCs w:val="40"/>
        </w:rPr>
        <w:t xml:space="preserve"> Comunicación y Cultura</w:t>
      </w:r>
    </w:p>
    <w:p w:rsidR="00F2149E" w:rsidRDefault="001A5117">
      <w:pPr>
        <w:jc w:val="center"/>
        <w:rPr>
          <w:rFonts w:ascii="Teko" w:eastAsia="Teko" w:hAnsi="Teko" w:cs="Teko"/>
          <w:b/>
          <w:sz w:val="40"/>
          <w:szCs w:val="40"/>
        </w:rPr>
      </w:pPr>
      <w:r>
        <w:rPr>
          <w:rFonts w:ascii="Teko" w:eastAsia="Teko" w:hAnsi="Teko" w:cs="Teko"/>
          <w:b/>
          <w:sz w:val="40"/>
          <w:szCs w:val="40"/>
        </w:rPr>
        <w:t>Ciclo lectivo 2020</w:t>
      </w:r>
    </w:p>
    <w:p w:rsidR="00124919" w:rsidRPr="00874987" w:rsidRDefault="00124919" w:rsidP="00124919">
      <w:pPr>
        <w:spacing w:line="360" w:lineRule="auto"/>
        <w:jc w:val="center"/>
        <w:rPr>
          <w:rFonts w:ascii="Arial" w:hAnsi="Arial" w:cs="Arial"/>
          <w:b/>
          <w:sz w:val="24"/>
          <w:szCs w:val="24"/>
        </w:rPr>
      </w:pPr>
      <w:r w:rsidRPr="00874987">
        <w:rPr>
          <w:rFonts w:ascii="Arial" w:hAnsi="Arial" w:cs="Arial"/>
          <w:b/>
          <w:sz w:val="24"/>
          <w:szCs w:val="24"/>
        </w:rPr>
        <w:t>Perspectivas y problemas de la Investigación en Comunicación y cultura</w:t>
      </w:r>
    </w:p>
    <w:p w:rsidR="00F2149E" w:rsidRDefault="00F2149E">
      <w:pPr>
        <w:jc w:val="both"/>
        <w:rPr>
          <w:b/>
          <w:sz w:val="28"/>
          <w:szCs w:val="28"/>
        </w:rPr>
      </w:pPr>
    </w:p>
    <w:p w:rsidR="00CA353E" w:rsidRDefault="00CA353E">
      <w:pPr>
        <w:jc w:val="both"/>
        <w:rPr>
          <w:b/>
          <w:sz w:val="28"/>
          <w:szCs w:val="28"/>
        </w:rPr>
        <w:sectPr w:rsidR="00CA353E">
          <w:headerReference w:type="default" r:id="rId8"/>
          <w:pgSz w:w="11906" w:h="16838"/>
          <w:pgMar w:top="1985" w:right="1701" w:bottom="1417" w:left="1701" w:header="568" w:footer="708" w:gutter="0"/>
          <w:pgNumType w:start="1"/>
          <w:cols w:space="720" w:equalWidth="0">
            <w:col w:w="8838"/>
          </w:cols>
        </w:sectPr>
      </w:pPr>
    </w:p>
    <w:p w:rsidR="00F2149E" w:rsidRPr="000030F2" w:rsidRDefault="00CA353E" w:rsidP="000030F2">
      <w:pPr>
        <w:spacing w:after="0" w:line="240" w:lineRule="auto"/>
        <w:jc w:val="both"/>
        <w:rPr>
          <w:rFonts w:asciiTheme="majorHAnsi" w:hAnsiTheme="majorHAnsi" w:cstheme="majorHAnsi"/>
          <w:b/>
        </w:rPr>
      </w:pPr>
      <w:r>
        <w:rPr>
          <w:rFonts w:asciiTheme="majorHAnsi" w:hAnsiTheme="majorHAnsi" w:cstheme="majorHAnsi"/>
          <w:b/>
        </w:rPr>
        <w:lastRenderedPageBreak/>
        <w:t>Docente</w:t>
      </w:r>
    </w:p>
    <w:p w:rsidR="00F2149E" w:rsidRPr="000030F2" w:rsidRDefault="00F2149E" w:rsidP="000030F2">
      <w:pPr>
        <w:spacing w:after="0" w:line="240" w:lineRule="auto"/>
        <w:jc w:val="both"/>
        <w:rPr>
          <w:rFonts w:asciiTheme="majorHAnsi" w:hAnsiTheme="majorHAnsi" w:cstheme="majorHAnsi"/>
          <w:b/>
        </w:rPr>
        <w:sectPr w:rsidR="00F2149E" w:rsidRPr="000030F2">
          <w:type w:val="continuous"/>
          <w:pgSz w:w="11906" w:h="16838"/>
          <w:pgMar w:top="1523" w:right="1701" w:bottom="1417" w:left="1701" w:header="568" w:footer="708" w:gutter="0"/>
          <w:cols w:space="720" w:equalWidth="0">
            <w:col w:w="8838"/>
          </w:cols>
        </w:sectPr>
      </w:pPr>
    </w:p>
    <w:p w:rsidR="00F2149E" w:rsidRPr="000030F2" w:rsidRDefault="00124919" w:rsidP="000030F2">
      <w:pPr>
        <w:spacing w:after="0" w:line="240" w:lineRule="auto"/>
        <w:jc w:val="both"/>
        <w:rPr>
          <w:rFonts w:asciiTheme="majorHAnsi" w:hAnsiTheme="majorHAnsi" w:cstheme="majorHAnsi"/>
          <w:b/>
        </w:rPr>
      </w:pPr>
      <w:r w:rsidRPr="000030F2">
        <w:rPr>
          <w:rFonts w:asciiTheme="majorHAnsi" w:hAnsiTheme="majorHAnsi" w:cstheme="majorHAnsi"/>
          <w:b/>
        </w:rPr>
        <w:lastRenderedPageBreak/>
        <w:t>Esteban Dipaola</w:t>
      </w:r>
    </w:p>
    <w:p w:rsidR="00F2149E" w:rsidRPr="000030F2" w:rsidRDefault="001A5117" w:rsidP="000030F2">
      <w:pPr>
        <w:spacing w:after="0" w:line="240" w:lineRule="auto"/>
        <w:jc w:val="both"/>
        <w:rPr>
          <w:rFonts w:asciiTheme="majorHAnsi" w:hAnsiTheme="majorHAnsi" w:cstheme="majorHAnsi"/>
        </w:rPr>
        <w:sectPr w:rsidR="00F2149E" w:rsidRPr="000030F2">
          <w:type w:val="continuous"/>
          <w:pgSz w:w="11906" w:h="16838"/>
          <w:pgMar w:top="1523" w:right="1701" w:bottom="1417" w:left="1701" w:header="568" w:footer="708" w:gutter="0"/>
          <w:cols w:num="2" w:space="720" w:equalWidth="0">
            <w:col w:w="3897" w:space="708"/>
            <w:col w:w="3897" w:space="0"/>
          </w:cols>
        </w:sectPr>
      </w:pPr>
      <w:r w:rsidRPr="000030F2">
        <w:rPr>
          <w:rFonts w:asciiTheme="majorHAnsi" w:hAnsiTheme="majorHAnsi" w:cstheme="majorHAnsi"/>
        </w:rPr>
        <w:br w:type="column"/>
      </w:r>
      <w:r w:rsidR="000030F2" w:rsidRPr="000030F2">
        <w:rPr>
          <w:rFonts w:asciiTheme="majorHAnsi" w:hAnsiTheme="majorHAnsi" w:cstheme="majorHAnsi"/>
          <w:lang w:val="es-ES"/>
        </w:rPr>
        <w:lastRenderedPageBreak/>
        <w:t>Doctor en Ciencias sociales por la Universidad de Buenos Aires (UBA); Licenciado en Sociología (UBA). Investigador asistente del CONICET</w:t>
      </w:r>
    </w:p>
    <w:p w:rsidR="00F2149E" w:rsidRPr="000030F2" w:rsidRDefault="00F2149E" w:rsidP="000030F2">
      <w:pPr>
        <w:spacing w:after="0" w:line="240" w:lineRule="auto"/>
        <w:jc w:val="both"/>
        <w:rPr>
          <w:rFonts w:asciiTheme="majorHAnsi" w:hAnsiTheme="majorHAnsi" w:cstheme="majorHAnsi"/>
          <w:b/>
        </w:rPr>
      </w:pPr>
    </w:p>
    <w:p w:rsidR="00F2149E" w:rsidRPr="000030F2" w:rsidRDefault="001A5117" w:rsidP="000030F2">
      <w:pPr>
        <w:spacing w:after="0" w:line="240" w:lineRule="auto"/>
        <w:jc w:val="both"/>
        <w:rPr>
          <w:rFonts w:asciiTheme="majorHAnsi" w:hAnsiTheme="majorHAnsi" w:cstheme="majorHAnsi"/>
          <w:b/>
        </w:rPr>
      </w:pPr>
      <w:r w:rsidRPr="000030F2">
        <w:rPr>
          <w:rFonts w:asciiTheme="majorHAnsi" w:hAnsiTheme="majorHAnsi" w:cstheme="majorHAnsi"/>
          <w:b/>
        </w:rPr>
        <w:t xml:space="preserve">Fundamentación </w:t>
      </w:r>
    </w:p>
    <w:p w:rsidR="00692DA6" w:rsidRPr="000030F2" w:rsidRDefault="00692DA6" w:rsidP="000030F2">
      <w:pPr>
        <w:spacing w:after="0" w:line="240" w:lineRule="auto"/>
        <w:ind w:firstLine="708"/>
        <w:jc w:val="both"/>
        <w:rPr>
          <w:rFonts w:asciiTheme="majorHAnsi" w:hAnsiTheme="majorHAnsi" w:cstheme="majorHAnsi"/>
        </w:rPr>
      </w:pPr>
      <w:r w:rsidRPr="000030F2">
        <w:rPr>
          <w:rFonts w:asciiTheme="majorHAnsi" w:hAnsiTheme="majorHAnsi" w:cstheme="majorHAnsi"/>
        </w:rPr>
        <w:t>El seminario “Perspectivas y problemáticas de la investigación en comunicación y cultura” se propone interrogar los presupuestos epistemológicos dominantes en los estudios culturales y, al tiempo, reactualizar los conceptos y las problemáticas que atraviesan a estos estudios. El abordaje se centrará en dar cuenta de los dispositivos de enunciación del régimen de discursividad en el campo de la cultura y de la comunicación, sin desatender los aspectos relativos a los debates acerca de la objetividad y de la verdad en este ámbito de la producción de conocimiento. En ese sentido, se presentarán críticamente las corrientes analíticas y se abordarán específicamente diferentes perspectivas críticas en torno a la producción de conocimiento, la hermenéutica, la deconstrucción y la estética, procurando pensar la adecuación de un ejercicio del pensamiento que desde la fuerza de la interpretación y la comprensión problematiza y analiza las características y transformaciones culturales en el contexto de las sociedades contemporáneas.</w:t>
      </w:r>
    </w:p>
    <w:p w:rsidR="00692DA6" w:rsidRPr="000030F2" w:rsidRDefault="00692DA6" w:rsidP="000030F2">
      <w:pPr>
        <w:spacing w:after="0" w:line="240" w:lineRule="auto"/>
        <w:jc w:val="both"/>
        <w:rPr>
          <w:rFonts w:asciiTheme="majorHAnsi" w:hAnsiTheme="majorHAnsi" w:cstheme="majorHAnsi"/>
        </w:rPr>
      </w:pPr>
      <w:r w:rsidRPr="000030F2">
        <w:rPr>
          <w:rFonts w:asciiTheme="majorHAnsi" w:hAnsiTheme="majorHAnsi" w:cstheme="majorHAnsi"/>
        </w:rPr>
        <w:t>Si consideramos que ya desde Aristóteles el objeto de todo discurso sobre la cultura no es el saber ni la verdad, sino la creencia, resulta necesario en los tiempos presentes reflexionar sobre los nuevos conceptos y dispositivos que orientan nuestras acciones y producen subjetividad. La comunicación y la cultura en el presente son también indicaciones del ejercicio de una nueva ética en donde las prácticas sensibles y afectivas toman relevancia y las nuevas tecnologías y redes sociales virtuales promueven otros tipos de encuentros e interacción que organizan de manera diferente al “yo” como producto.</w:t>
      </w:r>
    </w:p>
    <w:p w:rsidR="00692DA6" w:rsidRPr="000030F2" w:rsidRDefault="00692DA6" w:rsidP="000030F2">
      <w:pPr>
        <w:spacing w:after="0" w:line="240" w:lineRule="auto"/>
        <w:jc w:val="both"/>
        <w:rPr>
          <w:rFonts w:asciiTheme="majorHAnsi" w:hAnsiTheme="majorHAnsi" w:cstheme="majorHAnsi"/>
        </w:rPr>
      </w:pPr>
      <w:r w:rsidRPr="000030F2">
        <w:rPr>
          <w:rFonts w:asciiTheme="majorHAnsi" w:hAnsiTheme="majorHAnsi" w:cstheme="majorHAnsi"/>
        </w:rPr>
        <w:t>Estos cambios en la cultura y la sociedad obligan a reflexionar críticamente también sobre las metodologías con las cuales procedemos en nuestras investigaciones y a producir nuevos conceptos y estilos de producción académica que permitan ajustarse a las nuevas tendencias sociales.</w:t>
      </w:r>
    </w:p>
    <w:p w:rsidR="00692DA6" w:rsidRPr="000030F2" w:rsidRDefault="00692DA6"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Así, conformaciones conceptuales de conjunto como posmodernidad, estéticas, visualidades, consumos, imágenes, redes, etc. serán </w:t>
      </w:r>
      <w:proofErr w:type="gramStart"/>
      <w:r w:rsidRPr="000030F2">
        <w:rPr>
          <w:rFonts w:asciiTheme="majorHAnsi" w:hAnsiTheme="majorHAnsi" w:cstheme="majorHAnsi"/>
        </w:rPr>
        <w:t>necesarias</w:t>
      </w:r>
      <w:proofErr w:type="gramEnd"/>
      <w:r w:rsidRPr="000030F2">
        <w:rPr>
          <w:rFonts w:asciiTheme="majorHAnsi" w:hAnsiTheme="majorHAnsi" w:cstheme="majorHAnsi"/>
        </w:rPr>
        <w:t xml:space="preserve"> y útiles para un análisis de las perspectivas de investigación actuales dentro del campo.</w:t>
      </w:r>
    </w:p>
    <w:p w:rsidR="00692DA6" w:rsidRPr="000030F2" w:rsidRDefault="00692DA6" w:rsidP="000030F2">
      <w:pPr>
        <w:spacing w:after="0" w:line="240" w:lineRule="auto"/>
        <w:jc w:val="both"/>
        <w:rPr>
          <w:rFonts w:asciiTheme="majorHAnsi" w:hAnsiTheme="majorHAnsi" w:cstheme="majorHAnsi"/>
        </w:rPr>
      </w:pPr>
      <w:r w:rsidRPr="000030F2">
        <w:rPr>
          <w:rFonts w:asciiTheme="majorHAnsi" w:hAnsiTheme="majorHAnsi" w:cstheme="majorHAnsi"/>
        </w:rPr>
        <w:t>Entonces, el objetivo central del seminario será: reactualizar y pensar las categorías que posibilitan la emergencia de tópicos novedosos en la investigación de la cultura y de la sociedad en el contexto contemporáneo y atender, con esto, a producir una crítica epistemológica de los conceptos y fundamentos que introducen el análisis cultural en el campo de producción científica. Con ello, se pretende otorgar a los estudiantes las herramientas necesarias para el desarrollo de sus propios marcos de conceptualización crítica en respectivos proyectos de investigación.</w:t>
      </w:r>
    </w:p>
    <w:p w:rsidR="00692DA6" w:rsidRPr="000030F2" w:rsidRDefault="00692DA6" w:rsidP="000030F2">
      <w:pPr>
        <w:spacing w:after="0" w:line="240" w:lineRule="auto"/>
        <w:jc w:val="both"/>
        <w:rPr>
          <w:rFonts w:asciiTheme="majorHAnsi" w:hAnsiTheme="majorHAnsi" w:cstheme="majorHAnsi"/>
        </w:rPr>
      </w:pPr>
    </w:p>
    <w:p w:rsidR="00173552" w:rsidRDefault="00173552" w:rsidP="000030F2">
      <w:pPr>
        <w:spacing w:after="0" w:line="240" w:lineRule="auto"/>
        <w:jc w:val="both"/>
        <w:rPr>
          <w:rFonts w:asciiTheme="majorHAnsi" w:hAnsiTheme="majorHAnsi" w:cstheme="majorHAnsi"/>
          <w:b/>
        </w:rPr>
      </w:pPr>
    </w:p>
    <w:p w:rsidR="00173552" w:rsidRDefault="00173552" w:rsidP="000030F2">
      <w:pPr>
        <w:spacing w:after="0" w:line="240" w:lineRule="auto"/>
        <w:jc w:val="both"/>
        <w:rPr>
          <w:rFonts w:asciiTheme="majorHAnsi" w:hAnsiTheme="majorHAnsi" w:cstheme="majorHAnsi"/>
          <w:b/>
        </w:rPr>
      </w:pPr>
    </w:p>
    <w:p w:rsidR="0056679A" w:rsidRDefault="0056679A" w:rsidP="000030F2">
      <w:pPr>
        <w:spacing w:after="0" w:line="240" w:lineRule="auto"/>
        <w:jc w:val="both"/>
        <w:rPr>
          <w:rFonts w:asciiTheme="majorHAnsi" w:hAnsiTheme="majorHAnsi" w:cstheme="majorHAnsi"/>
          <w:b/>
        </w:rPr>
      </w:pPr>
      <w:r w:rsidRPr="000030F2">
        <w:rPr>
          <w:rFonts w:asciiTheme="majorHAnsi" w:hAnsiTheme="majorHAnsi" w:cstheme="majorHAnsi"/>
          <w:b/>
        </w:rPr>
        <w:lastRenderedPageBreak/>
        <w:t>Objetivos</w:t>
      </w:r>
    </w:p>
    <w:p w:rsidR="00173552" w:rsidRPr="000030F2" w:rsidRDefault="00173552" w:rsidP="000030F2">
      <w:pPr>
        <w:spacing w:after="0" w:line="240" w:lineRule="auto"/>
        <w:jc w:val="both"/>
        <w:rPr>
          <w:rFonts w:asciiTheme="majorHAnsi" w:hAnsiTheme="majorHAnsi" w:cstheme="majorHAnsi"/>
          <w:b/>
        </w:rPr>
      </w:pP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–Problematizar las fundamentaciones epistemológicas tradicionales y las actuales en el campo de la investigación en cultura y comunicación.</w:t>
      </w: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–Desarrollar problemáticas que sirvan a la producción de marcos de discusión crítica de las líneas de investigación dentro del campo.</w:t>
      </w: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–Comprender y analizar las principales tesis contemporáneas de la investigación cultural y sus derivas interpretativas.</w:t>
      </w: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–Fomentar el análisis de problemáticas culturales actuales sustentado en perspectivas epistemológicas críticas que posibiliten y abran nuevos campos de indagación.</w:t>
      </w: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–Reflexionar críticamente sobre los métodos y los conceptos de la teoría cultural y social en relación con las prácticas sociales contemporáneas.</w:t>
      </w:r>
    </w:p>
    <w:p w:rsidR="0056679A" w:rsidRPr="000030F2" w:rsidRDefault="0056679A" w:rsidP="000030F2">
      <w:pPr>
        <w:spacing w:after="0" w:line="240" w:lineRule="auto"/>
        <w:jc w:val="both"/>
        <w:rPr>
          <w:rFonts w:asciiTheme="majorHAnsi" w:hAnsiTheme="majorHAnsi" w:cstheme="majorHAnsi"/>
        </w:rPr>
      </w:pPr>
      <w:r w:rsidRPr="000030F2">
        <w:rPr>
          <w:rFonts w:asciiTheme="majorHAnsi" w:hAnsiTheme="majorHAnsi" w:cstheme="majorHAnsi"/>
        </w:rPr>
        <w:t>–Colaborar en la conceptualización de marcos de investigación apropiados para el ámbito de los estudios culturales y de comunicación.</w:t>
      </w:r>
    </w:p>
    <w:p w:rsidR="00F2149E" w:rsidRPr="000030F2" w:rsidRDefault="00F2149E" w:rsidP="000030F2">
      <w:pPr>
        <w:spacing w:after="0" w:line="240" w:lineRule="auto"/>
        <w:jc w:val="both"/>
        <w:rPr>
          <w:rFonts w:asciiTheme="majorHAnsi" w:hAnsiTheme="majorHAnsi" w:cstheme="majorHAnsi"/>
          <w:b/>
        </w:rPr>
      </w:pPr>
    </w:p>
    <w:p w:rsidR="00F2149E" w:rsidRPr="000030F2" w:rsidRDefault="00F2149E" w:rsidP="000030F2">
      <w:pPr>
        <w:spacing w:after="0" w:line="240" w:lineRule="auto"/>
        <w:jc w:val="both"/>
        <w:rPr>
          <w:rFonts w:asciiTheme="majorHAnsi" w:hAnsiTheme="majorHAnsi" w:cstheme="majorHAnsi"/>
          <w:b/>
        </w:rPr>
      </w:pPr>
    </w:p>
    <w:p w:rsidR="00F2149E" w:rsidRDefault="001A5117" w:rsidP="000030F2">
      <w:pPr>
        <w:spacing w:after="0" w:line="240" w:lineRule="auto"/>
        <w:jc w:val="both"/>
        <w:rPr>
          <w:rFonts w:asciiTheme="majorHAnsi" w:hAnsiTheme="majorHAnsi" w:cstheme="majorHAnsi"/>
          <w:b/>
        </w:rPr>
      </w:pPr>
      <w:r w:rsidRPr="000030F2">
        <w:rPr>
          <w:rFonts w:asciiTheme="majorHAnsi" w:hAnsiTheme="majorHAnsi" w:cstheme="majorHAnsi"/>
          <w:b/>
        </w:rPr>
        <w:t>Unidades</w:t>
      </w:r>
    </w:p>
    <w:p w:rsidR="00173552" w:rsidRPr="000030F2" w:rsidRDefault="00173552" w:rsidP="000030F2">
      <w:pPr>
        <w:spacing w:after="0" w:line="240" w:lineRule="auto"/>
        <w:jc w:val="both"/>
        <w:rPr>
          <w:rFonts w:asciiTheme="majorHAnsi" w:hAnsiTheme="majorHAnsi" w:cstheme="majorHAnsi"/>
          <w:b/>
        </w:rPr>
      </w:pPr>
    </w:p>
    <w:p w:rsidR="002E0448" w:rsidRPr="000030F2" w:rsidRDefault="00173552" w:rsidP="000030F2">
      <w:pPr>
        <w:spacing w:after="0" w:line="240" w:lineRule="auto"/>
        <w:jc w:val="both"/>
        <w:rPr>
          <w:rFonts w:asciiTheme="majorHAnsi" w:hAnsiTheme="majorHAnsi" w:cstheme="majorHAnsi"/>
        </w:rPr>
      </w:pPr>
      <w:r>
        <w:rPr>
          <w:rFonts w:asciiTheme="majorHAnsi" w:hAnsiTheme="majorHAnsi" w:cstheme="majorHAnsi"/>
          <w:b/>
        </w:rPr>
        <w:t>Unidad 1.</w:t>
      </w:r>
      <w:r w:rsidR="002E0448" w:rsidRPr="000030F2">
        <w:rPr>
          <w:rFonts w:asciiTheme="majorHAnsi" w:hAnsiTheme="majorHAnsi" w:cstheme="majorHAnsi"/>
          <w:b/>
        </w:rPr>
        <w:t xml:space="preserve"> Perspectivas metodológicas en cultura</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Pistas y ficciones de la investigación. ¿Qué significa investigar? La apropiación y producción del objeto. ¿A quién le interesa tener un método? La investigación como dispositivo estético: todo es narrativa. La perspectiva relacionista.</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-Agamben, Giorgio, </w:t>
      </w:r>
      <w:r w:rsidRPr="000030F2">
        <w:rPr>
          <w:rFonts w:asciiTheme="majorHAnsi" w:eastAsia="Times New Roman" w:hAnsiTheme="majorHAnsi" w:cstheme="majorHAnsi"/>
          <w:i/>
        </w:rPr>
        <w:t>Signatura rerum. Sobre el método</w:t>
      </w:r>
      <w:r w:rsidRPr="000030F2">
        <w:rPr>
          <w:rFonts w:asciiTheme="majorHAnsi" w:eastAsia="Times New Roman" w:hAnsiTheme="majorHAnsi" w:cstheme="majorHAnsi"/>
        </w:rPr>
        <w:t>, Barcelona, Anagrama, 2010. (Cap. 1 “¿Qué es un paradigma?”, pp. 11-42).</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–Angenot, Marc, </w:t>
      </w:r>
      <w:r w:rsidRPr="000030F2">
        <w:rPr>
          <w:rFonts w:asciiTheme="majorHAnsi" w:eastAsia="Times New Roman" w:hAnsiTheme="majorHAnsi" w:cstheme="majorHAnsi"/>
          <w:i/>
        </w:rPr>
        <w:t>El discurso social. Los límites históricos de lo pensable y lo decible</w:t>
      </w:r>
      <w:r w:rsidRPr="000030F2">
        <w:rPr>
          <w:rFonts w:asciiTheme="majorHAnsi" w:eastAsia="Times New Roman" w:hAnsiTheme="majorHAnsi" w:cstheme="majorHAnsi"/>
        </w:rPr>
        <w:t>, Buenos Aires, Siglo XXI, 2010 (Cap. 1 “El discurso social: problemática de conjunto”; Cap. 2 “Retorno al método”).</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-Bourdieu, Pierre, </w:t>
      </w:r>
      <w:r w:rsidRPr="000030F2">
        <w:rPr>
          <w:rFonts w:asciiTheme="majorHAnsi" w:eastAsia="Times New Roman" w:hAnsiTheme="majorHAnsi" w:cstheme="majorHAnsi"/>
          <w:i/>
        </w:rPr>
        <w:t>Una invitación a la sociología reflexiva</w:t>
      </w:r>
      <w:r w:rsidRPr="000030F2">
        <w:rPr>
          <w:rFonts w:asciiTheme="majorHAnsi" w:eastAsia="Times New Roman" w:hAnsiTheme="majorHAnsi" w:cstheme="majorHAnsi"/>
        </w:rPr>
        <w:t>, Buenos Aires, Siglo XXI, 2005. (“Hacia una praxeología social”, pp. 21-100).</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Bibliografía complementaria:</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–Angenot, Marc, </w:t>
      </w:r>
      <w:r w:rsidRPr="000030F2">
        <w:rPr>
          <w:rFonts w:asciiTheme="majorHAnsi" w:eastAsia="Times New Roman" w:hAnsiTheme="majorHAnsi" w:cstheme="majorHAnsi"/>
          <w:i/>
        </w:rPr>
        <w:t>Interdiscursividades</w:t>
      </w:r>
      <w:r w:rsidRPr="000030F2">
        <w:rPr>
          <w:rFonts w:asciiTheme="majorHAnsi" w:eastAsia="Times New Roman" w:hAnsiTheme="majorHAnsi" w:cstheme="majorHAnsi"/>
        </w:rPr>
        <w:t>, Córdoba, editorial UNC, 1998. (“La crítica del discurso social: a propósito de una orientación en investigación”, pp. 17-27).</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–Corcuff, Philippe, </w:t>
      </w:r>
      <w:r w:rsidRPr="000030F2">
        <w:rPr>
          <w:rFonts w:asciiTheme="majorHAnsi" w:hAnsiTheme="majorHAnsi" w:cstheme="majorHAnsi"/>
          <w:i/>
        </w:rPr>
        <w:t>Las nuevas sociologías</w:t>
      </w:r>
      <w:r w:rsidRPr="000030F2">
        <w:rPr>
          <w:rFonts w:asciiTheme="majorHAnsi" w:hAnsiTheme="majorHAnsi" w:cstheme="majorHAnsi"/>
        </w:rPr>
        <w:t>. Buenos Aires, Siglo XXI, 2013. (“Introducción”).</w:t>
      </w:r>
    </w:p>
    <w:p w:rsidR="002E0448" w:rsidRPr="000030F2" w:rsidRDefault="002E0448" w:rsidP="000030F2">
      <w:pPr>
        <w:spacing w:after="0" w:line="240" w:lineRule="auto"/>
        <w:jc w:val="both"/>
        <w:rPr>
          <w:rFonts w:asciiTheme="majorHAnsi" w:hAnsiTheme="majorHAnsi" w:cstheme="majorHAnsi"/>
        </w:rPr>
      </w:pPr>
    </w:p>
    <w:p w:rsidR="002E0448" w:rsidRPr="000030F2" w:rsidRDefault="00173552" w:rsidP="000030F2">
      <w:pPr>
        <w:spacing w:after="0" w:line="240" w:lineRule="auto"/>
        <w:jc w:val="both"/>
        <w:rPr>
          <w:rFonts w:asciiTheme="majorHAnsi" w:hAnsiTheme="majorHAnsi" w:cstheme="majorHAnsi"/>
          <w:b/>
        </w:rPr>
      </w:pPr>
      <w:r>
        <w:rPr>
          <w:rFonts w:asciiTheme="majorHAnsi" w:hAnsiTheme="majorHAnsi" w:cstheme="majorHAnsi"/>
          <w:b/>
        </w:rPr>
        <w:t>Unidad 2.</w:t>
      </w:r>
      <w:r w:rsidR="002E0448" w:rsidRPr="000030F2">
        <w:rPr>
          <w:rFonts w:asciiTheme="majorHAnsi" w:hAnsiTheme="majorHAnsi" w:cstheme="majorHAnsi"/>
          <w:b/>
        </w:rPr>
        <w:t xml:space="preserve"> Epistemología de la cultura</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Racionalidad y cultura. Verdad, universalidad, objetividad y método. Representación, sistema, significado y comunicación. Nuevos enfoques culturales: desinstitucionalización e individualización. El fin de lo social.</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–Beck, Ulrich, </w:t>
      </w:r>
      <w:r w:rsidRPr="000030F2">
        <w:rPr>
          <w:rFonts w:asciiTheme="majorHAnsi" w:eastAsia="Times New Roman" w:hAnsiTheme="majorHAnsi" w:cstheme="majorHAnsi"/>
          <w:i/>
        </w:rPr>
        <w:t>La sociedad del riesgo. Hacia una nueva modernidad</w:t>
      </w:r>
      <w:r w:rsidRPr="000030F2">
        <w:rPr>
          <w:rFonts w:asciiTheme="majorHAnsi" w:eastAsia="Times New Roman" w:hAnsiTheme="majorHAnsi" w:cstheme="majorHAnsi"/>
        </w:rPr>
        <w:t>, Barcelona, 2006. (Cap. 5 “Individualización, institucionalización y estandarización de las condiciones de vida y de los modelos biográficos”, pp. 209-223).</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–Jameson, Fredric, </w:t>
      </w:r>
      <w:r w:rsidRPr="000030F2">
        <w:rPr>
          <w:rFonts w:asciiTheme="majorHAnsi" w:eastAsia="Times New Roman" w:hAnsiTheme="majorHAnsi" w:cstheme="majorHAnsi"/>
          <w:i/>
        </w:rPr>
        <w:t>Valencias de la dialéctica</w:t>
      </w:r>
      <w:r w:rsidRPr="000030F2">
        <w:rPr>
          <w:rFonts w:asciiTheme="majorHAnsi" w:eastAsia="Times New Roman" w:hAnsiTheme="majorHAnsi" w:cstheme="majorHAnsi"/>
        </w:rPr>
        <w:t>, Buenos Aires, Eterna cadencia, 2013. (Cap. 1 “Los tres nombres de la dialéctica”, pp. 13-88).</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-Lipovetsky, Gilles, </w:t>
      </w:r>
      <w:r w:rsidRPr="000030F2">
        <w:rPr>
          <w:rFonts w:asciiTheme="majorHAnsi" w:eastAsia="Times New Roman" w:hAnsiTheme="majorHAnsi" w:cstheme="majorHAnsi"/>
          <w:i/>
        </w:rPr>
        <w:t>La era del vacío</w:t>
      </w:r>
      <w:r w:rsidRPr="000030F2">
        <w:rPr>
          <w:rFonts w:asciiTheme="majorHAnsi" w:eastAsia="Times New Roman" w:hAnsiTheme="majorHAnsi" w:cstheme="majorHAnsi"/>
        </w:rPr>
        <w:t>, México, Anagrama, 2017. (“Prefacio”, pp. 5-15).</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–Vattimo, Gianni, </w:t>
      </w:r>
      <w:r w:rsidRPr="000030F2">
        <w:rPr>
          <w:rFonts w:asciiTheme="majorHAnsi" w:eastAsia="Times New Roman" w:hAnsiTheme="majorHAnsi" w:cstheme="majorHAnsi"/>
          <w:i/>
        </w:rPr>
        <w:t>El sujeto y la máscara. Nietzsche y el problema de la liberación</w:t>
      </w:r>
      <w:r w:rsidRPr="000030F2">
        <w:rPr>
          <w:rFonts w:asciiTheme="majorHAnsi" w:eastAsia="Times New Roman" w:hAnsiTheme="majorHAnsi" w:cstheme="majorHAnsi"/>
        </w:rPr>
        <w:t>, Barcelona, Península, 2003. (“El crepúsculo del sujeto”).</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-Touraine, Alain, </w:t>
      </w:r>
      <w:r w:rsidRPr="000030F2">
        <w:rPr>
          <w:rFonts w:asciiTheme="majorHAnsi" w:hAnsiTheme="majorHAnsi" w:cstheme="majorHAnsi"/>
          <w:i/>
        </w:rPr>
        <w:t>El fin de las sociedades</w:t>
      </w:r>
      <w:r w:rsidRPr="000030F2">
        <w:rPr>
          <w:rFonts w:asciiTheme="majorHAnsi" w:hAnsiTheme="majorHAnsi" w:cstheme="majorHAnsi"/>
        </w:rPr>
        <w:t>, México, FCE, 2016. (Primera parte: “El fin del mundo social”, pp. 27-113).</w:t>
      </w:r>
    </w:p>
    <w:p w:rsidR="002E0448" w:rsidRPr="000030F2" w:rsidRDefault="002E0448" w:rsidP="000030F2">
      <w:pPr>
        <w:spacing w:after="0" w:line="240" w:lineRule="auto"/>
        <w:jc w:val="both"/>
        <w:rPr>
          <w:rFonts w:asciiTheme="majorHAnsi" w:hAnsiTheme="majorHAnsi" w:cstheme="majorHAnsi"/>
        </w:rPr>
      </w:pP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Bibliografía complementaria:</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–Dipaola, Esteban y Yabkowski, Nuria,</w:t>
      </w:r>
      <w:r w:rsidRPr="000030F2">
        <w:rPr>
          <w:rFonts w:asciiTheme="majorHAnsi" w:eastAsia="Times New Roman" w:hAnsiTheme="majorHAnsi" w:cstheme="majorHAnsi"/>
          <w:i/>
        </w:rPr>
        <w:t xml:space="preserve"> En tu ardor y en tu frío. Arte y política en Theodor Adorno y Gilles Deleuze</w:t>
      </w:r>
      <w:r w:rsidRPr="000030F2">
        <w:rPr>
          <w:rFonts w:asciiTheme="majorHAnsi" w:eastAsia="Times New Roman" w:hAnsiTheme="majorHAnsi" w:cstheme="majorHAnsi"/>
        </w:rPr>
        <w:t>, Buenos Aires, Paidós, 2008. (Cap. 4 – “La ontología y lo social”).</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–Grossberg, Lawrence, </w:t>
      </w:r>
      <w:r w:rsidRPr="000030F2">
        <w:rPr>
          <w:rFonts w:asciiTheme="majorHAnsi" w:eastAsia="Times New Roman" w:hAnsiTheme="majorHAnsi" w:cstheme="majorHAnsi"/>
          <w:i/>
        </w:rPr>
        <w:t>Estudios culturales en tiempo futuro</w:t>
      </w:r>
      <w:r w:rsidRPr="000030F2">
        <w:rPr>
          <w:rFonts w:asciiTheme="majorHAnsi" w:eastAsia="Times New Roman" w:hAnsiTheme="majorHAnsi" w:cstheme="majorHAnsi"/>
        </w:rPr>
        <w:t>, Buenos Aires, Siglo XXI, 2012. (Cap. 6 – “En búsqueda de las modernidades”).</w:t>
      </w:r>
    </w:p>
    <w:p w:rsidR="002E0448" w:rsidRPr="000030F2" w:rsidRDefault="002E0448" w:rsidP="000030F2">
      <w:pPr>
        <w:spacing w:after="0" w:line="240" w:lineRule="auto"/>
        <w:jc w:val="both"/>
        <w:rPr>
          <w:rFonts w:asciiTheme="majorHAnsi" w:hAnsiTheme="majorHAnsi" w:cstheme="majorHAnsi"/>
          <w:i/>
        </w:rPr>
      </w:pPr>
      <w:r w:rsidRPr="000030F2">
        <w:rPr>
          <w:rFonts w:asciiTheme="majorHAnsi" w:hAnsiTheme="majorHAnsi" w:cstheme="majorHAnsi"/>
        </w:rPr>
        <w:t xml:space="preserve">-Lecourt, Dominique, </w:t>
      </w:r>
      <w:r w:rsidRPr="000030F2">
        <w:rPr>
          <w:rFonts w:asciiTheme="majorHAnsi" w:hAnsiTheme="majorHAnsi" w:cstheme="majorHAnsi"/>
          <w:i/>
        </w:rPr>
        <w:t>Para una crítica de la epistemología</w:t>
      </w:r>
      <w:r w:rsidRPr="000030F2">
        <w:rPr>
          <w:rFonts w:asciiTheme="majorHAnsi" w:hAnsiTheme="majorHAnsi" w:cstheme="majorHAnsi"/>
        </w:rPr>
        <w:t>, México, Siglo XXI, 2013. (“Introducción”, pp. 7-18).</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-Nietzsche, Friedrich, </w:t>
      </w:r>
      <w:r w:rsidRPr="000030F2">
        <w:rPr>
          <w:rFonts w:asciiTheme="majorHAnsi" w:eastAsia="Times New Roman" w:hAnsiTheme="majorHAnsi" w:cstheme="majorHAnsi"/>
          <w:i/>
        </w:rPr>
        <w:t>Sobre verdad y mentira en sentido extramoral</w:t>
      </w:r>
      <w:r w:rsidRPr="000030F2">
        <w:rPr>
          <w:rFonts w:asciiTheme="majorHAnsi" w:eastAsia="Times New Roman" w:hAnsiTheme="majorHAnsi" w:cstheme="majorHAnsi"/>
        </w:rPr>
        <w:t>, Madrid, Tecnos, 2010.</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-Touraine, Alain, </w:t>
      </w:r>
      <w:r w:rsidRPr="000030F2">
        <w:rPr>
          <w:rFonts w:asciiTheme="majorHAnsi" w:eastAsia="Times New Roman" w:hAnsiTheme="majorHAnsi" w:cstheme="majorHAnsi"/>
          <w:i/>
        </w:rPr>
        <w:t>Después de la crisis</w:t>
      </w:r>
      <w:r w:rsidRPr="000030F2">
        <w:rPr>
          <w:rFonts w:asciiTheme="majorHAnsi" w:eastAsia="Times New Roman" w:hAnsiTheme="majorHAnsi" w:cstheme="majorHAnsi"/>
        </w:rPr>
        <w:t>, México, FCE, 2013. (Capítulos 1, 2 y 7).</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–Touraine, Alain, </w:t>
      </w:r>
      <w:r w:rsidRPr="000030F2">
        <w:rPr>
          <w:rFonts w:asciiTheme="majorHAnsi" w:eastAsia="Times New Roman" w:hAnsiTheme="majorHAnsi" w:cstheme="majorHAnsi"/>
          <w:i/>
        </w:rPr>
        <w:t>Crítica de la modernidad</w:t>
      </w:r>
      <w:r w:rsidRPr="000030F2">
        <w:rPr>
          <w:rFonts w:asciiTheme="majorHAnsi" w:eastAsia="Times New Roman" w:hAnsiTheme="majorHAnsi" w:cstheme="majorHAnsi"/>
        </w:rPr>
        <w:t>, Buenos Aires, FCE, 2000. (“Imágenes de la sociedad”).</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–Schröder, Gerhart, “Prólogo”, en: Schröder, G. y Breuninger, H. </w:t>
      </w:r>
      <w:r w:rsidRPr="000030F2">
        <w:rPr>
          <w:rFonts w:asciiTheme="majorHAnsi" w:eastAsia="Times New Roman" w:hAnsiTheme="majorHAnsi" w:cstheme="majorHAnsi"/>
          <w:i/>
        </w:rPr>
        <w:t>Teoría de la cultura. Un mapa de la cuestión</w:t>
      </w:r>
      <w:r w:rsidRPr="000030F2">
        <w:rPr>
          <w:rFonts w:asciiTheme="majorHAnsi" w:eastAsia="Times New Roman" w:hAnsiTheme="majorHAnsi" w:cstheme="majorHAnsi"/>
        </w:rPr>
        <w:t>, Buenos Aires, FCE, 2005; pp. 7-11.</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b/>
        </w:rPr>
      </w:pPr>
      <w:r w:rsidRPr="000030F2">
        <w:rPr>
          <w:rFonts w:asciiTheme="majorHAnsi" w:eastAsia="Times New Roman" w:hAnsiTheme="majorHAnsi" w:cstheme="majorHAnsi"/>
          <w:b/>
        </w:rPr>
        <w:t>Unidad 3</w:t>
      </w:r>
      <w:r w:rsidR="00173552">
        <w:rPr>
          <w:rFonts w:asciiTheme="majorHAnsi" w:eastAsia="Times New Roman" w:hAnsiTheme="majorHAnsi" w:cstheme="majorHAnsi"/>
          <w:b/>
        </w:rPr>
        <w:t>.</w:t>
      </w:r>
      <w:r w:rsidRPr="000030F2">
        <w:rPr>
          <w:rFonts w:asciiTheme="majorHAnsi" w:eastAsia="Times New Roman" w:hAnsiTheme="majorHAnsi" w:cstheme="majorHAnsi"/>
          <w:b/>
        </w:rPr>
        <w:t xml:space="preserve"> Hermenéutica, pragmatismo y postestructuralismo</w:t>
      </w:r>
    </w:p>
    <w:p w:rsidR="002E0448" w:rsidRPr="000030F2" w:rsidRDefault="002E0448" w:rsidP="000030F2">
      <w:pPr>
        <w:widowControl w:val="0"/>
        <w:suppressAutoHyphens/>
        <w:spacing w:after="0" w:line="240" w:lineRule="auto"/>
        <w:jc w:val="both"/>
        <w:rPr>
          <w:rFonts w:asciiTheme="majorHAnsi" w:hAnsiTheme="majorHAnsi" w:cstheme="majorHAnsi"/>
        </w:rPr>
      </w:pPr>
      <w:r w:rsidRPr="000030F2">
        <w:rPr>
          <w:rFonts w:asciiTheme="majorHAnsi" w:hAnsiTheme="majorHAnsi" w:cstheme="majorHAnsi"/>
        </w:rPr>
        <w:t>Diálogo y conversación como estrategias comprensivas. Ontología de la verdad: la apertura del mundo. La verdad como práctica y su definición por la utilidad. Sentido, acontecimiento y devenir. Interpretación y diferencia. El coraje de la verdad y las prácticas del cuidado.</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–Deleuze, Gilles, </w:t>
      </w:r>
      <w:r w:rsidRPr="000030F2">
        <w:rPr>
          <w:rFonts w:asciiTheme="majorHAnsi" w:eastAsia="Times New Roman" w:hAnsiTheme="majorHAnsi" w:cstheme="majorHAnsi"/>
          <w:i/>
        </w:rPr>
        <w:t>Diferencia y repetición</w:t>
      </w:r>
      <w:r w:rsidRPr="000030F2">
        <w:rPr>
          <w:rFonts w:asciiTheme="majorHAnsi" w:eastAsia="Times New Roman" w:hAnsiTheme="majorHAnsi" w:cstheme="majorHAnsi"/>
        </w:rPr>
        <w:t>, Buenos Aires, Amorrortu, 2002. (“Introducción” y Cap. 1).</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–Deleuze, Gilles, </w:t>
      </w:r>
      <w:r w:rsidRPr="000030F2">
        <w:rPr>
          <w:rFonts w:asciiTheme="majorHAnsi" w:eastAsia="Times New Roman" w:hAnsiTheme="majorHAnsi" w:cstheme="majorHAnsi"/>
          <w:i/>
        </w:rPr>
        <w:t>Lógica del sentido</w:t>
      </w:r>
      <w:r w:rsidRPr="000030F2">
        <w:rPr>
          <w:rFonts w:asciiTheme="majorHAnsi" w:eastAsia="Times New Roman" w:hAnsiTheme="majorHAnsi" w:cstheme="majorHAnsi"/>
        </w:rPr>
        <w:t>, Barcelona, Paidós, 1989. (“de la proposición”; “de la estructura”; “del juego ideal”).</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–Derrida, Jacques, “La escritura, el signo y el juego en el discurso de las ciencias humanas”. En: </w:t>
      </w:r>
      <w:r w:rsidRPr="000030F2">
        <w:rPr>
          <w:rFonts w:asciiTheme="majorHAnsi" w:eastAsia="Times New Roman" w:hAnsiTheme="majorHAnsi" w:cstheme="majorHAnsi"/>
          <w:i/>
        </w:rPr>
        <w:t>La escritura y la diferencia</w:t>
      </w:r>
      <w:r w:rsidRPr="000030F2">
        <w:rPr>
          <w:rFonts w:asciiTheme="majorHAnsi" w:eastAsia="Times New Roman" w:hAnsiTheme="majorHAnsi" w:cstheme="majorHAnsi"/>
        </w:rPr>
        <w:t>, Barcelona, Anthropos, 1989.</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-Foucault, Michel, </w:t>
      </w:r>
      <w:r w:rsidRPr="000030F2">
        <w:rPr>
          <w:rFonts w:asciiTheme="majorHAnsi" w:eastAsia="Times New Roman" w:hAnsiTheme="majorHAnsi" w:cstheme="majorHAnsi"/>
          <w:i/>
        </w:rPr>
        <w:t>Discurso y verdad</w:t>
      </w:r>
      <w:r w:rsidRPr="000030F2">
        <w:rPr>
          <w:rFonts w:asciiTheme="majorHAnsi" w:eastAsia="Times New Roman" w:hAnsiTheme="majorHAnsi" w:cstheme="majorHAnsi"/>
        </w:rPr>
        <w:t>, Buenos Aires, Siglo XXI, 2017.</w:t>
      </w:r>
    </w:p>
    <w:p w:rsidR="002E0448" w:rsidRPr="000030F2" w:rsidRDefault="002E0448" w:rsidP="000030F2">
      <w:pPr>
        <w:widowControl w:val="0"/>
        <w:suppressAutoHyphens/>
        <w:spacing w:after="0" w:line="240" w:lineRule="auto"/>
        <w:jc w:val="both"/>
        <w:rPr>
          <w:rFonts w:asciiTheme="majorHAnsi" w:hAnsiTheme="majorHAnsi" w:cstheme="majorHAnsi"/>
        </w:rPr>
      </w:pPr>
      <w:r w:rsidRPr="000030F2">
        <w:rPr>
          <w:rFonts w:asciiTheme="majorHAnsi" w:hAnsiTheme="majorHAnsi" w:cstheme="majorHAnsi"/>
        </w:rPr>
        <w:t xml:space="preserve">–Gadamer, Hans-Georg, “Acerca de la verdad de la palabra”, en: </w:t>
      </w:r>
      <w:r w:rsidRPr="000030F2">
        <w:rPr>
          <w:rFonts w:asciiTheme="majorHAnsi" w:hAnsiTheme="majorHAnsi" w:cstheme="majorHAnsi"/>
          <w:i/>
        </w:rPr>
        <w:t>Arte y verdad de la palabra</w:t>
      </w:r>
      <w:r w:rsidRPr="000030F2">
        <w:rPr>
          <w:rFonts w:asciiTheme="majorHAnsi" w:hAnsiTheme="majorHAnsi" w:cstheme="majorHAnsi"/>
        </w:rPr>
        <w:t>, Madrid, Editora Nacional, 2002.</w:t>
      </w:r>
    </w:p>
    <w:p w:rsidR="002E0448" w:rsidRPr="000030F2" w:rsidRDefault="002E0448" w:rsidP="000030F2">
      <w:pPr>
        <w:widowControl w:val="0"/>
        <w:suppressAutoHyphens/>
        <w:spacing w:after="0" w:line="240" w:lineRule="auto"/>
        <w:jc w:val="both"/>
        <w:rPr>
          <w:rFonts w:asciiTheme="majorHAnsi" w:hAnsiTheme="majorHAnsi" w:cstheme="majorHAnsi"/>
        </w:rPr>
      </w:pPr>
      <w:r w:rsidRPr="000030F2">
        <w:rPr>
          <w:rFonts w:asciiTheme="majorHAnsi" w:hAnsiTheme="majorHAnsi" w:cstheme="majorHAnsi"/>
        </w:rPr>
        <w:t xml:space="preserve">–Gadamer, Hans-Georg, “Tras las huellas de la hermenéutica”, en: </w:t>
      </w:r>
      <w:r w:rsidRPr="000030F2">
        <w:rPr>
          <w:rFonts w:asciiTheme="majorHAnsi" w:hAnsiTheme="majorHAnsi" w:cstheme="majorHAnsi"/>
          <w:i/>
        </w:rPr>
        <w:t>El giro hermenéutico</w:t>
      </w:r>
      <w:r w:rsidRPr="000030F2">
        <w:rPr>
          <w:rFonts w:asciiTheme="majorHAnsi" w:hAnsiTheme="majorHAnsi" w:cstheme="majorHAnsi"/>
        </w:rPr>
        <w:t>, Madrid, Editora Nacional, 2003.</w:t>
      </w:r>
    </w:p>
    <w:p w:rsidR="002E0448" w:rsidRPr="000030F2" w:rsidRDefault="002E0448" w:rsidP="000030F2">
      <w:pPr>
        <w:widowControl w:val="0"/>
        <w:suppressAutoHyphens/>
        <w:spacing w:after="0" w:line="240" w:lineRule="auto"/>
        <w:jc w:val="both"/>
        <w:rPr>
          <w:rFonts w:asciiTheme="majorHAnsi" w:hAnsiTheme="majorHAnsi" w:cstheme="majorHAnsi"/>
        </w:rPr>
      </w:pPr>
      <w:r w:rsidRPr="000030F2">
        <w:rPr>
          <w:rFonts w:asciiTheme="majorHAnsi" w:hAnsiTheme="majorHAnsi" w:cstheme="majorHAnsi"/>
        </w:rPr>
        <w:t xml:space="preserve">-Heidegger, Martin, </w:t>
      </w:r>
      <w:r w:rsidRPr="000030F2">
        <w:rPr>
          <w:rFonts w:asciiTheme="majorHAnsi" w:hAnsiTheme="majorHAnsi" w:cstheme="majorHAnsi"/>
          <w:i/>
        </w:rPr>
        <w:t>La pregunta por la cosa</w:t>
      </w:r>
      <w:r w:rsidRPr="000030F2">
        <w:rPr>
          <w:rFonts w:asciiTheme="majorHAnsi" w:hAnsiTheme="majorHAnsi" w:cstheme="majorHAnsi"/>
        </w:rPr>
        <w:t>, Buenos Aires, Hyspamerica, 1975. (Cap. 1 “Los distintos modos de preguntar por la cosa”).</w:t>
      </w:r>
    </w:p>
    <w:p w:rsidR="002E0448" w:rsidRPr="000030F2" w:rsidRDefault="002E0448" w:rsidP="000030F2">
      <w:pPr>
        <w:widowControl w:val="0"/>
        <w:suppressAutoHyphens/>
        <w:spacing w:after="0" w:line="240" w:lineRule="auto"/>
        <w:jc w:val="both"/>
        <w:rPr>
          <w:rFonts w:asciiTheme="majorHAnsi" w:hAnsiTheme="majorHAnsi" w:cstheme="majorHAnsi"/>
        </w:rPr>
      </w:pPr>
      <w:r w:rsidRPr="000030F2">
        <w:rPr>
          <w:rFonts w:asciiTheme="majorHAnsi" w:hAnsiTheme="majorHAnsi" w:cstheme="majorHAnsi"/>
        </w:rPr>
        <w:t xml:space="preserve">-Heidegger, Martin, </w:t>
      </w:r>
      <w:r w:rsidRPr="000030F2">
        <w:rPr>
          <w:rFonts w:asciiTheme="majorHAnsi" w:hAnsiTheme="majorHAnsi" w:cstheme="majorHAnsi"/>
          <w:i/>
        </w:rPr>
        <w:t>¿Qué es metafísica?</w:t>
      </w:r>
      <w:r w:rsidRPr="000030F2">
        <w:rPr>
          <w:rFonts w:asciiTheme="majorHAnsi" w:hAnsiTheme="majorHAnsi" w:cstheme="majorHAnsi"/>
        </w:rPr>
        <w:t>, Buenos Aires, Fausto, 1996, pp. 39-56).</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–Rorty, Richard, </w:t>
      </w:r>
      <w:r w:rsidRPr="000030F2">
        <w:rPr>
          <w:rFonts w:asciiTheme="majorHAnsi" w:eastAsia="Times New Roman" w:hAnsiTheme="majorHAnsi" w:cstheme="majorHAnsi"/>
          <w:i/>
        </w:rPr>
        <w:t>Consecuencias del pragmatismo</w:t>
      </w:r>
      <w:r w:rsidRPr="000030F2">
        <w:rPr>
          <w:rFonts w:asciiTheme="majorHAnsi" w:eastAsia="Times New Roman" w:hAnsiTheme="majorHAnsi" w:cstheme="majorHAnsi"/>
        </w:rPr>
        <w:t>, Madrid, Tecnos, 1996. (Cap. 9 “Pragmatismo, relativismo e irracionalismo”; Cap. 11 “Método, ciencia y esperanza social”).</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Bibliografía complementaria:</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Capelle-Dumont, Philippe, </w:t>
      </w:r>
      <w:r w:rsidRPr="000030F2">
        <w:rPr>
          <w:rFonts w:asciiTheme="majorHAnsi" w:eastAsia="Times New Roman" w:hAnsiTheme="majorHAnsi" w:cstheme="majorHAnsi"/>
          <w:i/>
        </w:rPr>
        <w:t>Filosofía y teología en el pensamiento de Martin Heidegger</w:t>
      </w:r>
      <w:r w:rsidRPr="000030F2">
        <w:rPr>
          <w:rFonts w:asciiTheme="majorHAnsi" w:eastAsia="Times New Roman" w:hAnsiTheme="majorHAnsi" w:cstheme="majorHAnsi"/>
        </w:rPr>
        <w:t>, Buenos Aires, FCE, 2012, pp. 67-86.</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-Foucault, Michel, </w:t>
      </w:r>
      <w:r w:rsidRPr="000030F2">
        <w:rPr>
          <w:rFonts w:asciiTheme="majorHAnsi" w:eastAsia="Times New Roman" w:hAnsiTheme="majorHAnsi" w:cstheme="majorHAnsi"/>
          <w:i/>
        </w:rPr>
        <w:t>El origen de la hermenéutica de sí</w:t>
      </w:r>
      <w:r w:rsidRPr="000030F2">
        <w:rPr>
          <w:rFonts w:asciiTheme="majorHAnsi" w:eastAsia="Times New Roman" w:hAnsiTheme="majorHAnsi" w:cstheme="majorHAnsi"/>
        </w:rPr>
        <w:t>, Buenos Aires, Siglo XXI, 2016. (“Subjetividad y verdad”, pp. 39-70).</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-Foucault, Michel, </w:t>
      </w:r>
      <w:r w:rsidRPr="000030F2">
        <w:rPr>
          <w:rFonts w:asciiTheme="majorHAnsi" w:eastAsia="Times New Roman" w:hAnsiTheme="majorHAnsi" w:cstheme="majorHAnsi"/>
          <w:i/>
        </w:rPr>
        <w:t>Historia de la sexualidad 3. La inquietud de sí</w:t>
      </w:r>
      <w:r w:rsidRPr="000030F2">
        <w:rPr>
          <w:rFonts w:asciiTheme="majorHAnsi" w:eastAsia="Times New Roman" w:hAnsiTheme="majorHAnsi" w:cstheme="majorHAnsi"/>
        </w:rPr>
        <w:t>, Buenos Aires, Siglo XXI, 2003.</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173552" w:rsidP="000030F2">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rPr>
        <w:t>Unidad 4.</w:t>
      </w:r>
      <w:r w:rsidR="002E0448" w:rsidRPr="000030F2">
        <w:rPr>
          <w:rFonts w:asciiTheme="majorHAnsi" w:eastAsia="Times New Roman" w:hAnsiTheme="majorHAnsi" w:cstheme="majorHAnsi"/>
          <w:b/>
        </w:rPr>
        <w:t xml:space="preserve"> Experiencias culturales contemporáneas. Estéticas y posmodernidad.</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Condiciones de la posmodernidad. Valor-signo y lógica de los objetos. Resurgimiento del individualismo y nuevas formas de interacción comunitaria. Vida de consumo y organización cultural de lo social. Subjetividad, individuo y estilos de vida. Preeminencia de la imagen en la producción de relaciones. Estetización de lo social. Dinámica y flexibilidad de relaciones comunitarias e identitarias.</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lastRenderedPageBreak/>
        <w:t xml:space="preserve">–Harvey, David, </w:t>
      </w:r>
      <w:r w:rsidRPr="000030F2">
        <w:rPr>
          <w:rFonts w:asciiTheme="majorHAnsi" w:eastAsia="Times New Roman" w:hAnsiTheme="majorHAnsi" w:cstheme="majorHAnsi"/>
          <w:i/>
        </w:rPr>
        <w:t>La condición de la posmodernidad. Investigación sobre los orígenes del cambio cultural</w:t>
      </w:r>
      <w:r w:rsidRPr="000030F2">
        <w:rPr>
          <w:rFonts w:asciiTheme="majorHAnsi" w:eastAsia="Times New Roman" w:hAnsiTheme="majorHAnsi" w:cstheme="majorHAnsi"/>
        </w:rPr>
        <w:t>, Buenos Aires, Amorrortu, 2008. (Primera parte. “El pasaje de la modernidad a la posmodernidad en la cultura contemporánea”, pp. 15-84).</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–Baudrillard, Jean, </w:t>
      </w:r>
      <w:r w:rsidRPr="000030F2">
        <w:rPr>
          <w:rFonts w:asciiTheme="majorHAnsi" w:eastAsia="Times New Roman" w:hAnsiTheme="majorHAnsi" w:cstheme="majorHAnsi"/>
          <w:i/>
        </w:rPr>
        <w:t>El sistema de los objetos</w:t>
      </w:r>
      <w:r w:rsidRPr="000030F2">
        <w:rPr>
          <w:rFonts w:asciiTheme="majorHAnsi" w:eastAsia="Times New Roman" w:hAnsiTheme="majorHAnsi" w:cstheme="majorHAnsi"/>
        </w:rPr>
        <w:t xml:space="preserve">, México, Siglo XXI, 2007. (Cap 1 “Las estructuras de colocación”, pp. 13-25; Conclusión, “Hacia una definición del consumo”, pp. 223-229). </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–Baudrillard, Jean, </w:t>
      </w:r>
      <w:r w:rsidRPr="000030F2">
        <w:rPr>
          <w:rFonts w:asciiTheme="majorHAnsi" w:eastAsia="Times New Roman" w:hAnsiTheme="majorHAnsi" w:cstheme="majorHAnsi"/>
          <w:i/>
        </w:rPr>
        <w:t>Crítica de la economía política del signo</w:t>
      </w:r>
      <w:r w:rsidRPr="000030F2">
        <w:rPr>
          <w:rFonts w:asciiTheme="majorHAnsi" w:eastAsia="Times New Roman" w:hAnsiTheme="majorHAnsi" w:cstheme="majorHAnsi"/>
        </w:rPr>
        <w:t>, México, Siglo XXI, 2005. (Cap. “Función-signo y lógica de clase”, pp. 1-17).</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–Bauman, Zygmunt, </w:t>
      </w:r>
      <w:r w:rsidRPr="000030F2">
        <w:rPr>
          <w:rFonts w:asciiTheme="majorHAnsi" w:eastAsia="Times New Roman" w:hAnsiTheme="majorHAnsi" w:cstheme="majorHAnsi"/>
          <w:i/>
        </w:rPr>
        <w:t>Vida de consumo</w:t>
      </w:r>
      <w:r w:rsidRPr="000030F2">
        <w:rPr>
          <w:rFonts w:asciiTheme="majorHAnsi" w:eastAsia="Times New Roman" w:hAnsiTheme="majorHAnsi" w:cstheme="majorHAnsi"/>
        </w:rPr>
        <w:t>, Buenos Aires, FCE, 2008. (Cap. 3 “Cultura consumista”, pp. 115-157).</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–Maffesoli, Michel, </w:t>
      </w:r>
      <w:r w:rsidRPr="000030F2">
        <w:rPr>
          <w:rFonts w:asciiTheme="majorHAnsi" w:eastAsia="Times New Roman" w:hAnsiTheme="majorHAnsi" w:cstheme="majorHAnsi"/>
          <w:i/>
        </w:rPr>
        <w:t>El reencantamiento del mundo. Una ética para nuestro tiempo</w:t>
      </w:r>
      <w:r w:rsidRPr="000030F2">
        <w:rPr>
          <w:rFonts w:asciiTheme="majorHAnsi" w:eastAsia="Times New Roman" w:hAnsiTheme="majorHAnsi" w:cstheme="majorHAnsi"/>
        </w:rPr>
        <w:t>. Buenos Aires, Dedalus, 2009. (Cap. 1 – “La tela de lo real” – Cap. 4 – “Ética de la religancia”).</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–Maffesoli, Michel, </w:t>
      </w:r>
      <w:r w:rsidRPr="000030F2">
        <w:rPr>
          <w:rFonts w:asciiTheme="majorHAnsi" w:eastAsia="Times New Roman" w:hAnsiTheme="majorHAnsi" w:cstheme="majorHAnsi"/>
          <w:i/>
        </w:rPr>
        <w:t>El instante eterno. El retorno de lo trágico en las sociedades posmodernas</w:t>
      </w:r>
      <w:r w:rsidRPr="000030F2">
        <w:rPr>
          <w:rFonts w:asciiTheme="majorHAnsi" w:eastAsia="Times New Roman" w:hAnsiTheme="majorHAnsi" w:cstheme="majorHAnsi"/>
        </w:rPr>
        <w:t>, Buenos Aires, Paidós, 2005. (Cap. 4 “El mundo de las apariencias”, pp. 111-136).</w:t>
      </w:r>
    </w:p>
    <w:p w:rsidR="002E0448" w:rsidRPr="000030F2" w:rsidRDefault="002E0448" w:rsidP="000030F2">
      <w:pPr>
        <w:spacing w:after="0" w:line="240" w:lineRule="auto"/>
        <w:jc w:val="both"/>
        <w:rPr>
          <w:rFonts w:asciiTheme="majorHAnsi" w:eastAsia="Times New Roman" w:hAnsiTheme="majorHAnsi" w:cstheme="majorHAnsi"/>
          <w:highlight w:val="cyan"/>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Bibliografía complementaria:</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–Bauman, Zygmunt, La cultura en el mundo de la modernidad líquida, Buenos Aires, FCE, 2013, Capítulo 2, pp. 23-32.</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–Dipaola, Esteban, </w:t>
      </w:r>
      <w:r w:rsidRPr="000030F2">
        <w:rPr>
          <w:rFonts w:asciiTheme="majorHAnsi" w:eastAsia="Times New Roman" w:hAnsiTheme="majorHAnsi" w:cstheme="majorHAnsi"/>
          <w:i/>
        </w:rPr>
        <w:t>Comunidad impropia. Estéticas posmodernas del lazo social</w:t>
      </w:r>
      <w:r w:rsidRPr="000030F2">
        <w:rPr>
          <w:rFonts w:asciiTheme="majorHAnsi" w:eastAsia="Times New Roman" w:hAnsiTheme="majorHAnsi" w:cstheme="majorHAnsi"/>
        </w:rPr>
        <w:t>. Buenos Aires, Letra Viva, 2013.</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eastAsia="Times New Roman" w:hAnsiTheme="majorHAnsi" w:cstheme="majorHAnsi"/>
        </w:rPr>
        <w:t xml:space="preserve">–Dipaola, Esteban, </w:t>
      </w:r>
      <w:r w:rsidRPr="000030F2">
        <w:rPr>
          <w:rFonts w:asciiTheme="majorHAnsi" w:hAnsiTheme="majorHAnsi" w:cstheme="majorHAnsi"/>
        </w:rPr>
        <w:t xml:space="preserve">“Socialidades contemporáneas: dinámica y flexibilidad en relaciones comunitarias e identitarias”. En </w:t>
      </w:r>
      <w:r w:rsidRPr="000030F2">
        <w:rPr>
          <w:rFonts w:asciiTheme="majorHAnsi" w:hAnsiTheme="majorHAnsi" w:cstheme="majorHAnsi"/>
          <w:i/>
        </w:rPr>
        <w:t>Nómadas. Revista Crítica de Ciencias sociales y jurídicas</w:t>
      </w:r>
      <w:r w:rsidRPr="000030F2">
        <w:rPr>
          <w:rFonts w:asciiTheme="majorHAnsi" w:hAnsiTheme="majorHAnsi" w:cstheme="majorHAnsi"/>
        </w:rPr>
        <w:t xml:space="preserve"> Vol. 26, Nº 2, EMUI Euro-Mediterranean University Institute | Universidad Complutense de Madrid. Publicación asociada a la Revista </w:t>
      </w:r>
      <w:r w:rsidRPr="000030F2">
        <w:rPr>
          <w:rFonts w:asciiTheme="majorHAnsi" w:hAnsiTheme="majorHAnsi" w:cstheme="majorHAnsi"/>
          <w:i/>
          <w:iCs/>
        </w:rPr>
        <w:t>Nomads. Mediterranean Perspectivas</w:t>
      </w:r>
      <w:r w:rsidRPr="000030F2">
        <w:rPr>
          <w:rFonts w:asciiTheme="majorHAnsi" w:hAnsiTheme="majorHAnsi" w:cstheme="majorHAnsi"/>
          <w:iCs/>
        </w:rPr>
        <w:t>,</w:t>
      </w:r>
      <w:r w:rsidRPr="000030F2">
        <w:rPr>
          <w:rFonts w:asciiTheme="majorHAnsi" w:hAnsiTheme="majorHAnsi" w:cstheme="majorHAnsi"/>
        </w:rPr>
        <w:t xml:space="preserve"> pp. 159-185.</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–Featherstone, Mike, </w:t>
      </w:r>
      <w:r w:rsidRPr="000030F2">
        <w:rPr>
          <w:rFonts w:asciiTheme="majorHAnsi" w:eastAsia="Times New Roman" w:hAnsiTheme="majorHAnsi" w:cstheme="majorHAnsi"/>
          <w:i/>
        </w:rPr>
        <w:t>Cultura de consumo y posmodernismo</w:t>
      </w:r>
      <w:r w:rsidRPr="000030F2">
        <w:rPr>
          <w:rFonts w:asciiTheme="majorHAnsi" w:eastAsia="Times New Roman" w:hAnsiTheme="majorHAnsi" w:cstheme="majorHAnsi"/>
        </w:rPr>
        <w:t>, Buenos Aires, Amorrortu, 2000. (Cap. 6 “Estilos de vida y cultura de consumo”, pp. 142-159).</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–Jameson, Fredric, </w:t>
      </w:r>
      <w:r w:rsidRPr="000030F2">
        <w:rPr>
          <w:rFonts w:asciiTheme="majorHAnsi" w:eastAsia="Times New Roman" w:hAnsiTheme="majorHAnsi" w:cstheme="majorHAnsi"/>
          <w:i/>
        </w:rPr>
        <w:t>El giro cultural</w:t>
      </w:r>
      <w:r w:rsidRPr="000030F2">
        <w:rPr>
          <w:rFonts w:asciiTheme="majorHAnsi" w:eastAsia="Times New Roman" w:hAnsiTheme="majorHAnsi" w:cstheme="majorHAnsi"/>
        </w:rPr>
        <w:t>, Buenos Aires, Manantial, 2002. (Cap. 1 “El posmodernismo y la sociedad de consumo”, pp. 15-38).</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–Touraine, Alain, </w:t>
      </w:r>
      <w:r w:rsidRPr="000030F2">
        <w:rPr>
          <w:rFonts w:asciiTheme="majorHAnsi" w:eastAsia="Times New Roman" w:hAnsiTheme="majorHAnsi" w:cstheme="majorHAnsi"/>
          <w:i/>
        </w:rPr>
        <w:t>Un nuevo paradigma para comprender el mundo de hoy</w:t>
      </w:r>
      <w:r w:rsidRPr="000030F2">
        <w:rPr>
          <w:rFonts w:asciiTheme="majorHAnsi" w:eastAsia="Times New Roman" w:hAnsiTheme="majorHAnsi" w:cstheme="majorHAnsi"/>
        </w:rPr>
        <w:t>, Buenos Aires, Paidós, 2006. (Cap. 4 “El fin de las sociedades”, pp. 63-94 – Cap. 6 “El sujeto”, pp. 129-179).</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173552" w:rsidP="000030F2">
      <w:pPr>
        <w:spacing w:after="0" w:line="240" w:lineRule="auto"/>
        <w:jc w:val="both"/>
        <w:rPr>
          <w:rFonts w:asciiTheme="majorHAnsi" w:eastAsia="Times New Roman" w:hAnsiTheme="majorHAnsi" w:cstheme="majorHAnsi"/>
          <w:b/>
        </w:rPr>
      </w:pPr>
      <w:r>
        <w:rPr>
          <w:rFonts w:asciiTheme="majorHAnsi" w:eastAsia="Times New Roman" w:hAnsiTheme="majorHAnsi" w:cstheme="majorHAnsi"/>
          <w:b/>
        </w:rPr>
        <w:t>Unidad 5.</w:t>
      </w:r>
      <w:r w:rsidR="002E0448" w:rsidRPr="000030F2">
        <w:rPr>
          <w:rFonts w:asciiTheme="majorHAnsi" w:eastAsia="Times New Roman" w:hAnsiTheme="majorHAnsi" w:cstheme="majorHAnsi"/>
          <w:b/>
        </w:rPr>
        <w:t xml:space="preserve"> Imaginalidades y estéticas contemporáneas</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Producciones imaginales. Las estéticas y las imágenes de nuestra vida social. ¿Qué es el arte? ¿Hay significado? La destitución de la representación. Lógicas de lo indiscernible.</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–Bourriaud, Nicolas, </w:t>
      </w:r>
      <w:r w:rsidRPr="000030F2">
        <w:rPr>
          <w:rFonts w:asciiTheme="majorHAnsi" w:eastAsia="Times New Roman" w:hAnsiTheme="majorHAnsi" w:cstheme="majorHAnsi"/>
          <w:i/>
        </w:rPr>
        <w:t>Postproducción</w:t>
      </w:r>
      <w:r w:rsidRPr="000030F2">
        <w:rPr>
          <w:rFonts w:asciiTheme="majorHAnsi" w:eastAsia="Times New Roman" w:hAnsiTheme="majorHAnsi" w:cstheme="majorHAnsi"/>
        </w:rPr>
        <w:t>, Buenos Aires, Adriana Hidalgo, 2007. (pp. 7-36).</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–Danto, Arthur, </w:t>
      </w:r>
      <w:r w:rsidRPr="000030F2">
        <w:rPr>
          <w:rFonts w:asciiTheme="majorHAnsi" w:hAnsiTheme="majorHAnsi" w:cstheme="majorHAnsi"/>
          <w:i/>
        </w:rPr>
        <w:t>El abuso de la belleza</w:t>
      </w:r>
      <w:r w:rsidRPr="000030F2">
        <w:rPr>
          <w:rFonts w:asciiTheme="majorHAnsi" w:hAnsiTheme="majorHAnsi" w:cstheme="majorHAnsi"/>
        </w:rPr>
        <w:t>, Buenos Aires, Paidós, 2008. (Introducción. La estética de las cajas Brillo).</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–Deleuze, Gilles, </w:t>
      </w:r>
      <w:r w:rsidRPr="000030F2">
        <w:rPr>
          <w:rFonts w:asciiTheme="majorHAnsi" w:hAnsiTheme="majorHAnsi" w:cstheme="majorHAnsi"/>
          <w:i/>
        </w:rPr>
        <w:t>La imagen-tiempo. Estudios sobre cine 2</w:t>
      </w:r>
      <w:r w:rsidRPr="000030F2">
        <w:rPr>
          <w:rFonts w:asciiTheme="majorHAnsi" w:hAnsiTheme="majorHAnsi" w:cstheme="majorHAnsi"/>
        </w:rPr>
        <w:t>, Buenos Aires, Paidós, 2005. “Los cristales del tiempo”, pp. 97-133.</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-Didi-Huberman, Georges, </w:t>
      </w:r>
      <w:r w:rsidRPr="000030F2">
        <w:rPr>
          <w:rFonts w:asciiTheme="majorHAnsi" w:eastAsia="Times New Roman" w:hAnsiTheme="majorHAnsi" w:cstheme="majorHAnsi"/>
          <w:i/>
        </w:rPr>
        <w:t>Lo que vemos, lo que nos mira</w:t>
      </w:r>
      <w:r w:rsidRPr="000030F2">
        <w:rPr>
          <w:rFonts w:asciiTheme="majorHAnsi" w:eastAsia="Times New Roman" w:hAnsiTheme="majorHAnsi" w:cstheme="majorHAnsi"/>
        </w:rPr>
        <w:t>, Buenos Aires, Manantial, 2014.</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-Dipaola, Esteban (comp.) </w:t>
      </w:r>
      <w:r w:rsidRPr="000030F2">
        <w:rPr>
          <w:rFonts w:asciiTheme="majorHAnsi" w:eastAsia="Times New Roman" w:hAnsiTheme="majorHAnsi" w:cstheme="majorHAnsi"/>
          <w:i/>
        </w:rPr>
        <w:t>Producciones imaginales. Cultura visual y socialidad contemporánea</w:t>
      </w:r>
      <w:r w:rsidRPr="000030F2">
        <w:rPr>
          <w:rFonts w:asciiTheme="majorHAnsi" w:eastAsia="Times New Roman" w:hAnsiTheme="majorHAnsi" w:cstheme="majorHAnsi"/>
        </w:rPr>
        <w:t>, Buenos Aires, La cebra, 2018.</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-Rancière, Jacques, </w:t>
      </w:r>
      <w:r w:rsidRPr="000030F2">
        <w:rPr>
          <w:rFonts w:asciiTheme="majorHAnsi" w:eastAsia="Times New Roman" w:hAnsiTheme="majorHAnsi" w:cstheme="majorHAnsi"/>
          <w:i/>
        </w:rPr>
        <w:t>El malestar en la estética</w:t>
      </w:r>
      <w:r w:rsidRPr="000030F2">
        <w:rPr>
          <w:rFonts w:asciiTheme="majorHAnsi" w:eastAsia="Times New Roman" w:hAnsiTheme="majorHAnsi" w:cstheme="majorHAnsi"/>
        </w:rPr>
        <w:t>, Buenos Aires, Capital Intelectual, 2011. (“Políticas de la estética”).</w:t>
      </w:r>
    </w:p>
    <w:p w:rsidR="002E0448" w:rsidRPr="000030F2" w:rsidRDefault="002E0448" w:rsidP="000030F2">
      <w:pPr>
        <w:spacing w:after="0" w:line="240" w:lineRule="auto"/>
        <w:jc w:val="both"/>
        <w:rPr>
          <w:rFonts w:asciiTheme="majorHAnsi" w:eastAsia="Times New Roman" w:hAnsiTheme="majorHAnsi" w:cstheme="majorHAnsi"/>
        </w:rPr>
      </w:pP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Bibliografía complementaria:</w:t>
      </w:r>
    </w:p>
    <w:p w:rsidR="002E0448" w:rsidRPr="000030F2" w:rsidRDefault="002E0448" w:rsidP="000030F2">
      <w:pPr>
        <w:spacing w:after="0" w:line="240" w:lineRule="auto"/>
        <w:jc w:val="both"/>
        <w:rPr>
          <w:rStyle w:val="apple-style-span"/>
          <w:rFonts w:asciiTheme="majorHAnsi" w:hAnsiTheme="majorHAnsi" w:cstheme="majorHAnsi"/>
        </w:rPr>
      </w:pPr>
      <w:r w:rsidRPr="000030F2">
        <w:rPr>
          <w:rFonts w:asciiTheme="majorHAnsi" w:hAnsiTheme="majorHAnsi" w:cstheme="majorHAnsi"/>
        </w:rPr>
        <w:t xml:space="preserve">–Dipaola, Esteban, “La producción imaginal de lo social: imágenes y estetización en las sociedades contemporáneas”. En: </w:t>
      </w:r>
      <w:r w:rsidRPr="000030F2">
        <w:rPr>
          <w:rFonts w:asciiTheme="majorHAnsi" w:hAnsiTheme="majorHAnsi" w:cstheme="majorHAnsi"/>
          <w:i/>
        </w:rPr>
        <w:t>Cadernos Zygmunt Bauman</w:t>
      </w:r>
      <w:r w:rsidRPr="000030F2">
        <w:rPr>
          <w:rFonts w:asciiTheme="majorHAnsi" w:hAnsiTheme="majorHAnsi" w:cstheme="majorHAnsi"/>
        </w:rPr>
        <w:t xml:space="preserve"> Vol. 1, nº 1. </w:t>
      </w:r>
      <w:r w:rsidRPr="000030F2">
        <w:rPr>
          <w:rStyle w:val="apple-style-span"/>
          <w:rFonts w:asciiTheme="majorHAnsi" w:hAnsiTheme="majorHAnsi" w:cstheme="majorHAnsi"/>
        </w:rPr>
        <w:t>Publicação acadêmico-científica, Río de Janeiro, 2011. pp. 68-84.</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lastRenderedPageBreak/>
        <w:t xml:space="preserve">–Dipaola, Esteban, “Las formas políticas del cine argentino: montajes, disrupciones y estéticas de una tradición”. En: </w:t>
      </w:r>
      <w:r w:rsidRPr="000030F2">
        <w:rPr>
          <w:rFonts w:asciiTheme="majorHAnsi" w:hAnsiTheme="majorHAnsi" w:cstheme="majorHAnsi"/>
          <w:i/>
        </w:rPr>
        <w:t>Aisthesis</w:t>
      </w:r>
      <w:r w:rsidRPr="000030F2">
        <w:rPr>
          <w:rFonts w:asciiTheme="majorHAnsi" w:hAnsiTheme="majorHAnsi" w:cstheme="majorHAnsi"/>
        </w:rPr>
        <w:t xml:space="preserve"> Nº 48. Pontificia Universidad Católica de Chile, 2010. pp. 128-140.</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–Groys, Boris, </w:t>
      </w:r>
      <w:r w:rsidRPr="000030F2">
        <w:rPr>
          <w:rFonts w:asciiTheme="majorHAnsi" w:eastAsia="Times New Roman" w:hAnsiTheme="majorHAnsi" w:cstheme="majorHAnsi"/>
          <w:i/>
        </w:rPr>
        <w:t>Volverse público</w:t>
      </w:r>
      <w:r w:rsidRPr="000030F2">
        <w:rPr>
          <w:rFonts w:asciiTheme="majorHAnsi" w:eastAsia="Times New Roman" w:hAnsiTheme="majorHAnsi" w:cstheme="majorHAnsi"/>
        </w:rPr>
        <w:t>, Buenos Aires, Caja negra. Capítulo 1, pp. 21-35.</w:t>
      </w:r>
    </w:p>
    <w:p w:rsidR="002E0448" w:rsidRPr="000030F2" w:rsidRDefault="002E0448" w:rsidP="000030F2">
      <w:pPr>
        <w:spacing w:after="0" w:line="240" w:lineRule="auto"/>
        <w:jc w:val="both"/>
        <w:rPr>
          <w:rFonts w:asciiTheme="majorHAnsi" w:eastAsia="Times New Roman" w:hAnsiTheme="majorHAnsi" w:cstheme="majorHAnsi"/>
        </w:rPr>
      </w:pPr>
      <w:r w:rsidRPr="000030F2">
        <w:rPr>
          <w:rFonts w:asciiTheme="majorHAnsi" w:eastAsia="Times New Roman" w:hAnsiTheme="majorHAnsi" w:cstheme="majorHAnsi"/>
        </w:rPr>
        <w:t xml:space="preserve">-Gruzinski, Serge, </w:t>
      </w:r>
      <w:r w:rsidRPr="000030F2">
        <w:rPr>
          <w:rFonts w:asciiTheme="majorHAnsi" w:eastAsia="Times New Roman" w:hAnsiTheme="majorHAnsi" w:cstheme="majorHAnsi"/>
          <w:i/>
        </w:rPr>
        <w:t>La guerra de las imágenes</w:t>
      </w:r>
      <w:r w:rsidRPr="000030F2">
        <w:rPr>
          <w:rFonts w:asciiTheme="majorHAnsi" w:eastAsia="Times New Roman" w:hAnsiTheme="majorHAnsi" w:cstheme="majorHAnsi"/>
        </w:rPr>
        <w:t>, México, FCE, 2016. (Cap. 5 “Los consumidores de imágenes”).</w:t>
      </w:r>
    </w:p>
    <w:p w:rsidR="002E0448" w:rsidRPr="000030F2" w:rsidRDefault="002E0448" w:rsidP="000030F2">
      <w:pPr>
        <w:spacing w:after="0" w:line="240" w:lineRule="auto"/>
        <w:jc w:val="both"/>
        <w:rPr>
          <w:rFonts w:asciiTheme="majorHAnsi" w:hAnsiTheme="majorHAnsi" w:cstheme="majorHAnsi"/>
        </w:rPr>
      </w:pPr>
      <w:r w:rsidRPr="000030F2">
        <w:rPr>
          <w:rFonts w:asciiTheme="majorHAnsi" w:hAnsiTheme="majorHAnsi" w:cstheme="majorHAnsi"/>
        </w:rPr>
        <w:t xml:space="preserve">–Lyotard, J-F. </w:t>
      </w:r>
      <w:r w:rsidRPr="000030F2">
        <w:rPr>
          <w:rFonts w:asciiTheme="majorHAnsi" w:hAnsiTheme="majorHAnsi" w:cstheme="majorHAnsi"/>
          <w:i/>
        </w:rPr>
        <w:t>Discurso, figura</w:t>
      </w:r>
      <w:r w:rsidRPr="000030F2">
        <w:rPr>
          <w:rFonts w:asciiTheme="majorHAnsi" w:hAnsiTheme="majorHAnsi" w:cstheme="majorHAnsi"/>
        </w:rPr>
        <w:t>, Buenos Aires, La cebra, 2014. (Cap. 1. “El partido de lo figural”, pp. 11-31).</w:t>
      </w:r>
    </w:p>
    <w:p w:rsidR="002E0448" w:rsidRPr="000030F2" w:rsidRDefault="002E0448" w:rsidP="000030F2">
      <w:pPr>
        <w:spacing w:after="0" w:line="240" w:lineRule="auto"/>
        <w:jc w:val="both"/>
        <w:rPr>
          <w:rFonts w:asciiTheme="majorHAnsi" w:hAnsiTheme="majorHAnsi" w:cstheme="majorHAnsi"/>
        </w:rPr>
      </w:pPr>
    </w:p>
    <w:p w:rsidR="00F2149E" w:rsidRPr="000030F2" w:rsidRDefault="00F2149E" w:rsidP="000030F2">
      <w:pPr>
        <w:spacing w:after="0" w:line="240" w:lineRule="auto"/>
        <w:jc w:val="both"/>
        <w:rPr>
          <w:rFonts w:asciiTheme="majorHAnsi" w:hAnsiTheme="majorHAnsi" w:cstheme="majorHAnsi"/>
          <w:b/>
        </w:rPr>
      </w:pPr>
    </w:p>
    <w:p w:rsidR="00F2149E" w:rsidRPr="000030F2" w:rsidRDefault="00F2149E" w:rsidP="000030F2">
      <w:pPr>
        <w:spacing w:after="0" w:line="240" w:lineRule="auto"/>
        <w:jc w:val="both"/>
        <w:rPr>
          <w:rFonts w:asciiTheme="majorHAnsi" w:hAnsiTheme="majorHAnsi" w:cstheme="majorHAnsi"/>
          <w:b/>
        </w:rPr>
      </w:pPr>
    </w:p>
    <w:p w:rsidR="00F2149E" w:rsidRDefault="001A5117" w:rsidP="000030F2">
      <w:pPr>
        <w:spacing w:after="0" w:line="240" w:lineRule="auto"/>
        <w:jc w:val="both"/>
        <w:rPr>
          <w:rFonts w:asciiTheme="majorHAnsi" w:hAnsiTheme="majorHAnsi" w:cstheme="majorHAnsi"/>
          <w:b/>
        </w:rPr>
      </w:pPr>
      <w:r w:rsidRPr="000030F2">
        <w:rPr>
          <w:rFonts w:asciiTheme="majorHAnsi" w:hAnsiTheme="majorHAnsi" w:cstheme="majorHAnsi"/>
          <w:b/>
        </w:rPr>
        <w:t>Metodología de cursada y evaluación</w:t>
      </w:r>
    </w:p>
    <w:p w:rsidR="00173552" w:rsidRPr="000030F2" w:rsidRDefault="00173552" w:rsidP="000030F2">
      <w:pPr>
        <w:spacing w:after="0" w:line="240" w:lineRule="auto"/>
        <w:jc w:val="both"/>
        <w:rPr>
          <w:rFonts w:asciiTheme="majorHAnsi" w:hAnsiTheme="majorHAnsi" w:cstheme="majorHAnsi"/>
          <w:b/>
        </w:rPr>
      </w:pPr>
    </w:p>
    <w:p w:rsidR="002604FA" w:rsidRPr="000030F2" w:rsidRDefault="002604FA" w:rsidP="000030F2">
      <w:pPr>
        <w:spacing w:after="0" w:line="240" w:lineRule="auto"/>
        <w:jc w:val="both"/>
        <w:rPr>
          <w:rFonts w:asciiTheme="majorHAnsi" w:hAnsiTheme="majorHAnsi" w:cstheme="majorHAnsi"/>
        </w:rPr>
      </w:pPr>
      <w:r w:rsidRPr="000030F2">
        <w:rPr>
          <w:rFonts w:asciiTheme="majorHAnsi" w:hAnsiTheme="majorHAnsi" w:cstheme="majorHAnsi"/>
        </w:rPr>
        <w:t>Se dictará una clase teórica semanal, en donde se expondrán los temas y autores específicos y se pretenderá además introducir un debate entre los cursantes que sirva para la problematización de los textos.</w:t>
      </w:r>
    </w:p>
    <w:p w:rsidR="002604FA" w:rsidRPr="000030F2" w:rsidRDefault="002604FA" w:rsidP="000030F2">
      <w:pPr>
        <w:spacing w:after="0" w:line="240" w:lineRule="auto"/>
        <w:jc w:val="both"/>
        <w:rPr>
          <w:rFonts w:asciiTheme="majorHAnsi" w:hAnsiTheme="majorHAnsi" w:cstheme="majorHAnsi"/>
        </w:rPr>
      </w:pPr>
      <w:r w:rsidRPr="000030F2">
        <w:rPr>
          <w:rFonts w:asciiTheme="majorHAnsi" w:hAnsiTheme="majorHAnsi" w:cstheme="majorHAnsi"/>
        </w:rPr>
        <w:t>Se buscará trabajar en clase recuperando, en lo posible, las temáticas de investigación de los cursantes.</w:t>
      </w:r>
    </w:p>
    <w:p w:rsidR="00F2149E" w:rsidRPr="000030F2" w:rsidRDefault="002604FA" w:rsidP="000030F2">
      <w:pPr>
        <w:spacing w:after="0" w:line="240" w:lineRule="auto"/>
        <w:jc w:val="both"/>
        <w:rPr>
          <w:rFonts w:asciiTheme="majorHAnsi" w:hAnsiTheme="majorHAnsi" w:cstheme="majorHAnsi"/>
          <w:b/>
        </w:rPr>
      </w:pPr>
      <w:r w:rsidRPr="000030F2">
        <w:rPr>
          <w:rFonts w:asciiTheme="majorHAnsi" w:hAnsiTheme="majorHAnsi" w:cstheme="majorHAnsi"/>
        </w:rPr>
        <w:t>La evaluación consistirá en la realización de un trabajo monográfico sobre las temáticas del seminario, que implique además un avance de investigación para el cursante</w:t>
      </w:r>
    </w:p>
    <w:sectPr w:rsidR="00F2149E" w:rsidRPr="000030F2">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4E" w:rsidRDefault="00187A4E">
      <w:pPr>
        <w:spacing w:after="0" w:line="240" w:lineRule="auto"/>
      </w:pPr>
      <w:r>
        <w:separator/>
      </w:r>
    </w:p>
  </w:endnote>
  <w:endnote w:type="continuationSeparator" w:id="0">
    <w:p w:rsidR="00187A4E" w:rsidRDefault="0018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4E" w:rsidRDefault="00187A4E">
      <w:pPr>
        <w:spacing w:after="0" w:line="240" w:lineRule="auto"/>
      </w:pPr>
      <w:r>
        <w:separator/>
      </w:r>
    </w:p>
  </w:footnote>
  <w:footnote w:type="continuationSeparator" w:id="0">
    <w:p w:rsidR="00187A4E" w:rsidRDefault="00187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69A532C8" wp14:editId="019A1560">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E"/>
    <w:rsid w:val="000030F2"/>
    <w:rsid w:val="00034D7B"/>
    <w:rsid w:val="00124919"/>
    <w:rsid w:val="00173552"/>
    <w:rsid w:val="00187A4E"/>
    <w:rsid w:val="001A5117"/>
    <w:rsid w:val="002604FA"/>
    <w:rsid w:val="002E0448"/>
    <w:rsid w:val="0056679A"/>
    <w:rsid w:val="00582830"/>
    <w:rsid w:val="00692DA6"/>
    <w:rsid w:val="009A2FD5"/>
    <w:rsid w:val="00CA353E"/>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style-span">
    <w:name w:val="apple-style-span"/>
    <w:rsid w:val="002E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style-span">
    <w:name w:val="apple-style-span"/>
    <w:rsid w:val="002E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BARBARA GISELLE ESTER MORANA</cp:lastModifiedBy>
  <cp:revision>2</cp:revision>
  <dcterms:created xsi:type="dcterms:W3CDTF">2020-03-13T18:56:00Z</dcterms:created>
  <dcterms:modified xsi:type="dcterms:W3CDTF">2020-03-13T18:56:00Z</dcterms:modified>
</cp:coreProperties>
</file>