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68" w:rsidRDefault="005855E6">
      <w:pPr>
        <w:jc w:val="center"/>
      </w:pPr>
      <w:bookmarkStart w:id="0" w:name="_GoBack"/>
      <w:bookmarkEnd w:id="0"/>
      <w:r>
        <w:rPr>
          <w:rFonts w:ascii="Teko" w:eastAsia="Teko" w:hAnsi="Teko" w:cs="Teko"/>
          <w:b/>
          <w:sz w:val="40"/>
          <w:szCs w:val="40"/>
        </w:rPr>
        <w:t>Maestría en Intervención social -  Ciclo lectivo 2020</w:t>
      </w:r>
    </w:p>
    <w:p w:rsidR="00834968" w:rsidRDefault="005855E6">
      <w:pPr>
        <w:jc w:val="center"/>
        <w:rPr>
          <w:rFonts w:ascii="Teko" w:eastAsia="Teko" w:hAnsi="Teko" w:cs="Teko"/>
          <w:b/>
          <w:sz w:val="52"/>
          <w:szCs w:val="52"/>
        </w:rPr>
      </w:pPr>
      <w:r>
        <w:rPr>
          <w:rFonts w:ascii="Teko" w:eastAsia="Teko" w:hAnsi="Teko" w:cs="Teko"/>
          <w:b/>
          <w:sz w:val="52"/>
          <w:szCs w:val="52"/>
        </w:rPr>
        <w:t>La intervención como proceso histórico</w:t>
      </w:r>
    </w:p>
    <w:p w:rsidR="00834968" w:rsidRDefault="00834968">
      <w:pPr>
        <w:jc w:val="both"/>
        <w:rPr>
          <w:b/>
          <w:sz w:val="28"/>
          <w:szCs w:val="28"/>
        </w:rPr>
      </w:pPr>
    </w:p>
    <w:p w:rsidR="00834968" w:rsidRDefault="00834968">
      <w:pPr>
        <w:sectPr w:rsidR="00834968">
          <w:headerReference w:type="default" r:id="rId8"/>
          <w:pgSz w:w="11906" w:h="16838"/>
          <w:pgMar w:top="1985" w:right="1701" w:bottom="1417" w:left="1701" w:header="568" w:footer="0" w:gutter="0"/>
          <w:pgNumType w:start="1"/>
          <w:cols w:space="720"/>
          <w:formProt w:val="0"/>
          <w:docGrid w:linePitch="100" w:charSpace="4096"/>
        </w:sectPr>
      </w:pPr>
    </w:p>
    <w:p w:rsidR="00834968" w:rsidRDefault="005855E6">
      <w:pPr>
        <w:jc w:val="both"/>
      </w:pPr>
      <w:r>
        <w:rPr>
          <w:b/>
          <w:sz w:val="32"/>
          <w:szCs w:val="32"/>
        </w:rPr>
        <w:lastRenderedPageBreak/>
        <w:t>Docente Eduardo Daniel López</w:t>
      </w:r>
    </w:p>
    <w:p w:rsidR="00834968" w:rsidRDefault="00834968">
      <w:pPr>
        <w:sectPr w:rsidR="00834968">
          <w:type w:val="continuous"/>
          <w:pgSz w:w="11906" w:h="16838"/>
          <w:pgMar w:top="1985" w:right="1701" w:bottom="1417" w:left="1701" w:header="568" w:footer="0" w:gutter="0"/>
          <w:cols w:space="720"/>
          <w:formProt w:val="0"/>
          <w:docGrid w:linePitch="100" w:charSpace="4096"/>
        </w:sectPr>
      </w:pPr>
    </w:p>
    <w:p w:rsidR="00834968" w:rsidRDefault="00834968">
      <w:pPr>
        <w:spacing w:line="240" w:lineRule="auto"/>
        <w:jc w:val="both"/>
        <w:rPr>
          <w:b/>
          <w:sz w:val="24"/>
          <w:szCs w:val="24"/>
        </w:rPr>
      </w:pPr>
    </w:p>
    <w:p w:rsidR="00834968" w:rsidRDefault="005855E6">
      <w:pPr>
        <w:spacing w:line="240" w:lineRule="auto"/>
        <w:jc w:val="both"/>
      </w:pPr>
      <w:r>
        <w:br w:type="column"/>
      </w:r>
      <w:r>
        <w:rPr>
          <w:sz w:val="24"/>
          <w:szCs w:val="24"/>
        </w:rPr>
        <w:lastRenderedPageBreak/>
        <w:t xml:space="preserve">Licenciado </w:t>
      </w:r>
      <w:r>
        <w:rPr>
          <w:sz w:val="24"/>
          <w:szCs w:val="24"/>
        </w:rPr>
        <w:t>en Trabajo Social por la UNLP. Magíster en Servicio Social y Doctor en Servicio social, Política social y movimientos sociales por la Pontificia Universidad Católica de San Pablo-Brasil. Profesor titular de Trabajo social y sujetos colectivos Fac. de TS-UN</w:t>
      </w:r>
      <w:r>
        <w:rPr>
          <w:sz w:val="24"/>
          <w:szCs w:val="24"/>
        </w:rPr>
        <w:t>LP). Investiga</w:t>
      </w:r>
      <w:r>
        <w:rPr>
          <w:sz w:val="24"/>
          <w:szCs w:val="24"/>
        </w:rPr>
        <w:t xml:space="preserve"> en temas de </w:t>
      </w:r>
      <w:r>
        <w:rPr>
          <w:sz w:val="24"/>
          <w:szCs w:val="24"/>
        </w:rPr>
        <w:t>Trabajo Social.</w:t>
      </w:r>
    </w:p>
    <w:p w:rsidR="00834968" w:rsidRDefault="00834968">
      <w:pPr>
        <w:sectPr w:rsidR="00834968">
          <w:type w:val="continuous"/>
          <w:pgSz w:w="11906" w:h="16838"/>
          <w:pgMar w:top="1985" w:right="1701" w:bottom="1417" w:left="1701" w:header="568" w:footer="0" w:gutter="0"/>
          <w:cols w:num="2" w:space="708"/>
          <w:formProt w:val="0"/>
          <w:docGrid w:linePitch="100" w:charSpace="4096"/>
        </w:sectPr>
      </w:pPr>
    </w:p>
    <w:p w:rsidR="00834968" w:rsidRDefault="00834968">
      <w:pPr>
        <w:spacing w:line="240" w:lineRule="auto"/>
        <w:jc w:val="both"/>
        <w:rPr>
          <w:rFonts w:ascii="Arial" w:hAnsi="Arial"/>
          <w:b/>
          <w:sz w:val="28"/>
          <w:szCs w:val="28"/>
        </w:rPr>
      </w:pPr>
    </w:p>
    <w:p w:rsidR="00834968" w:rsidRDefault="005855E6">
      <w:pPr>
        <w:spacing w:line="240" w:lineRule="auto"/>
        <w:jc w:val="both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Fundamentación </w:t>
      </w:r>
    </w:p>
    <w:p w:rsidR="00834968" w:rsidRDefault="005855E6">
      <w:pPr>
        <w:shd w:val="clear" w:color="auto" w:fill="FFFFFF"/>
        <w:spacing w:before="240" w:after="240" w:line="240" w:lineRule="auto"/>
        <w:ind w:firstLine="1134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Toda intervención se encuentra tensionada por el campo de fuerzas en cual se inscribe por lo que se organiza y dispone conforme a la pretensión de construir determinadas so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ciabilidades y no otras en tanto construcción de un orden social determinado en cada momento histórico. Conceptualizar la intervención social como un proceso histórico remite necesariamente a poner de relieve la primacía los proyectos societales de los cua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les surge y en los cuales se inscribe. </w:t>
      </w:r>
    </w:p>
    <w:p w:rsidR="00834968" w:rsidRDefault="005855E6">
      <w:pPr>
        <w:shd w:val="clear" w:color="auto" w:fill="FFFFFF"/>
        <w:spacing w:before="240" w:after="240" w:line="240" w:lineRule="auto"/>
        <w:ind w:firstLine="1134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Abordar la intervención desde una perspectiva historiográfica implica poner el énfasis en el sentido que cada intervención cobró para el que interviene y para el intervenido en cada contexto, clima de época y pensamiento social consagrado en cada momento.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No obstante, podemos percibir que esas intervenciones no son parte de un pasado muerto y dejado atrás sino que por el contrario nunca fueron superadas totalmente y que sobreviven mas o menos larvadas y fragmentadas perdurando hasta el presente. </w:t>
      </w:r>
    </w:p>
    <w:p w:rsidR="00834968" w:rsidRDefault="005855E6">
      <w:pPr>
        <w:shd w:val="clear" w:color="auto" w:fill="FFFFFF"/>
        <w:spacing w:before="240" w:after="240" w:line="240" w:lineRule="auto"/>
        <w:ind w:firstLine="1134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Cada proce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so histórico abordado nos propone no solo voces hegemónicas, sino también resistencias subterráneas y voces silenciadas que fueron marcando realidades extensas en la cultura de los pueblos americanos. Se intenta así echar luz sobre los procesos de interven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ción dominantes pero también sobre sus resistencias, sus luchas, sus voces  silenciadas por la historia oficial. Se pretende no solo registrar las voces de “la” intervención sino también las voves y silencios de los amplios sectores de los “intervenidos”. </w:t>
      </w:r>
    </w:p>
    <w:p w:rsidR="00834968" w:rsidRDefault="005855E6">
      <w:pPr>
        <w:shd w:val="clear" w:color="auto" w:fill="FFFFFF"/>
        <w:spacing w:before="240" w:after="240" w:line="240" w:lineRule="auto"/>
        <w:ind w:firstLine="1134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Para ello se propone una bibliografía que vaya más allá de lo que se entiende tradicionalmente por historia de la intervención social. Se intenta hurgar en la historia social y en el pensamiento social con el objetivo de describir el ejercicio del poder y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 las marcas que éste ha dejado en la vida cotidiana y la cultura de esos otros en cada momento histórico. A su vez, como el propósito del seminario es asistir a una formación interventiva se pretende realizar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lastRenderedPageBreak/>
        <w:t>el ejercicio de comprender las marcas de dichas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 intervenciones que nos asisten a orientar la intervención en el presente. </w:t>
      </w:r>
    </w:p>
    <w:p w:rsidR="00834968" w:rsidRDefault="00834968">
      <w:pPr>
        <w:spacing w:line="240" w:lineRule="auto"/>
        <w:jc w:val="both"/>
        <w:rPr>
          <w:rFonts w:ascii="Arial" w:hAnsi="Arial"/>
          <w:b/>
          <w:sz w:val="28"/>
          <w:szCs w:val="28"/>
        </w:rPr>
      </w:pPr>
    </w:p>
    <w:p w:rsidR="00834968" w:rsidRDefault="005855E6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Objetivos</w:t>
      </w:r>
    </w:p>
    <w:p w:rsidR="00834968" w:rsidRDefault="00834968">
      <w:pPr>
        <w:spacing w:after="0" w:line="240" w:lineRule="auto"/>
        <w:jc w:val="both"/>
        <w:rPr>
          <w:rFonts w:ascii="Arial" w:hAnsi="Arial"/>
        </w:rPr>
      </w:pPr>
    </w:p>
    <w:p w:rsidR="00834968" w:rsidRDefault="005855E6">
      <w:pPr>
        <w:pStyle w:val="Prrafodelista"/>
        <w:numPr>
          <w:ilvl w:val="0"/>
          <w:numId w:val="1"/>
        </w:numPr>
        <w:suppressAutoHyphens/>
        <w:spacing w:after="0" w:line="240" w:lineRule="auto"/>
        <w:ind w:left="567" w:right="567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Describir los rasgos fundamentales de distintas intervenciones sociales en el marco de los procesos históricos de Argentina y América Latina desde la conquista hasta el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presente;</w:t>
      </w:r>
    </w:p>
    <w:p w:rsidR="00834968" w:rsidRDefault="005855E6">
      <w:pPr>
        <w:pStyle w:val="Prrafodelista"/>
        <w:numPr>
          <w:ilvl w:val="0"/>
          <w:numId w:val="1"/>
        </w:numPr>
        <w:suppressAutoHyphens/>
        <w:spacing w:after="0" w:line="240" w:lineRule="auto"/>
        <w:ind w:left="567" w:right="567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Relacionar las modalidades de intervención social con los proyectos societales hegemónicos y contrahegemónicos, con las realidades contextuales, los climas de época y los sistemas de ideas vigentes en cada etapa.</w:t>
      </w:r>
    </w:p>
    <w:p w:rsidR="00834968" w:rsidRDefault="005855E6">
      <w:pPr>
        <w:pStyle w:val="Prrafodelista"/>
        <w:numPr>
          <w:ilvl w:val="0"/>
          <w:numId w:val="1"/>
        </w:numPr>
        <w:suppressAutoHyphens/>
        <w:spacing w:after="0" w:line="240" w:lineRule="auto"/>
        <w:ind w:left="567" w:right="567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Relacionar las modalidades de in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tervención social que se fueron presentando históricamente con la conformación cultural de las clases subalternas desde una perspectiva de arqueología del presente. </w:t>
      </w:r>
    </w:p>
    <w:p w:rsidR="00834968" w:rsidRDefault="00834968">
      <w:pPr>
        <w:spacing w:line="240" w:lineRule="auto"/>
        <w:jc w:val="both"/>
        <w:rPr>
          <w:rFonts w:ascii="Arial" w:hAnsi="Arial"/>
          <w:b/>
          <w:sz w:val="28"/>
          <w:szCs w:val="28"/>
        </w:rPr>
      </w:pPr>
    </w:p>
    <w:p w:rsidR="00834968" w:rsidRDefault="005855E6">
      <w:pPr>
        <w:spacing w:line="240" w:lineRule="auto"/>
        <w:jc w:val="both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Unidades</w:t>
      </w:r>
    </w:p>
    <w:p w:rsidR="00834968" w:rsidRDefault="005855E6">
      <w:pPr>
        <w:tabs>
          <w:tab w:val="left" w:pos="1590"/>
        </w:tabs>
        <w:spacing w:line="240" w:lineRule="auto"/>
        <w:jc w:val="both"/>
      </w:pPr>
      <w:r>
        <w:rPr>
          <w:rFonts w:ascii="Arial" w:hAnsi="Arial"/>
          <w:b/>
          <w:bCs/>
          <w:sz w:val="24"/>
          <w:szCs w:val="24"/>
        </w:rPr>
        <w:t>Unidad 1.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La construcción de la sociedad colonial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Registros fundantes. Des apro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piación y disciplinamiento del indio. Aculturación. Racialización. Clasificación. Jerarquización. Acumulación originaria, patriarcado y s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ometimiento de las mujeres. Reducción.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Adoctrinamiento. Cristianización. Civilización. Explotación. Deshumanización. De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monización.  Esclavización. Servidumbre. Encomienda. Servicio personal.  Desarraigo. Mita. Yaconazgo. Transmigración. Expatriación. Destierro. Aislamiento. Integración del indio amigo. Conciliación y Redención mestiza. Deculturación. Ladinización. Fagocita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ción del ser por el estar. Condiciones sociales del Estado jesuitico. Estadocentrismo. Dignidad. Derechos. Salario. </w:t>
      </w:r>
    </w:p>
    <w:p w:rsidR="00834968" w:rsidRDefault="005855E6">
      <w:pPr>
        <w:tabs>
          <w:tab w:val="left" w:pos="1590"/>
        </w:tabs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Unidad 2.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zh-CN"/>
        </w:rPr>
        <w:t>La construcción de la sociedad oligárquica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desapropiación y disciplinamiento del gaucho cimarrón. Estigma, penalización, reclutamiento e integración de las familias al fortín. Las fortineras. Deserción y Filiación. Alfabetización y dignificación del trabajador paraguayo. Las clientelas y el popul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ismo oligárquico: Patronazgo, compadrazgo. El linaje. La red familiar oligárquica. El notable. El clientelismo social. Estigmatización del inmigrante. Resignificación conservadora del gaucho. Positivismo. Proletarización del orillero. Calificación del voto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</w:p>
    <w:p w:rsidR="00834968" w:rsidRDefault="005855E6">
      <w:pPr>
        <w:spacing w:line="240" w:lineRule="auto"/>
        <w:jc w:val="both"/>
      </w:pPr>
      <w:r>
        <w:rPr>
          <w:rFonts w:ascii="Arial" w:hAnsi="Arial"/>
          <w:b/>
          <w:bCs/>
          <w:sz w:val="24"/>
          <w:szCs w:val="24"/>
        </w:rPr>
        <w:t>Unidad 3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La construcción de la sociedad neo-oligárquica: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Disciplinamiento del obrero. El populismo oligárquico y el paternalismo conservador urbano. Liderazgo de comité. El lumpen criollo. El fraude electoral. Clientelismo político. El anarquismo y los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inmigrantes. Huelga, represión y tortura a los obreros. Estigmatización del conventillo. La intervención positivista e higienista, la vivienda obrera. Las sufragistas.</w:t>
      </w:r>
    </w:p>
    <w:p w:rsidR="00834968" w:rsidRDefault="005855E6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Unidad 4.</w:t>
      </w: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 xml:space="preserve">La construcción de la comunidad nacional: </w:t>
      </w:r>
    </w:p>
    <w:p w:rsidR="00834968" w:rsidRDefault="005855E6">
      <w:pPr>
        <w:spacing w:line="240" w:lineRule="auto"/>
        <w:jc w:val="both"/>
      </w:pPr>
      <w:r>
        <w:rPr>
          <w:rFonts w:ascii="Arial" w:hAnsi="Arial"/>
          <w:sz w:val="24"/>
          <w:szCs w:val="24"/>
        </w:rPr>
        <w:t>Movimiento nacional histórico. Pa</w:t>
      </w:r>
      <w:r>
        <w:rPr>
          <w:rFonts w:ascii="Arial" w:hAnsi="Arial"/>
          <w:sz w:val="24"/>
          <w:szCs w:val="24"/>
        </w:rPr>
        <w:t xml:space="preserve">trones socioculturales oligárquico-señorial y   popular. La reivindicación de lo popular. Doctrina social de la iglesia. La dignidad del hombre. Justicia social, previsión social y ayuda social. Derechos </w:t>
      </w:r>
      <w:r>
        <w:rPr>
          <w:rFonts w:ascii="Arial" w:hAnsi="Arial"/>
          <w:sz w:val="24"/>
          <w:szCs w:val="24"/>
        </w:rPr>
        <w:lastRenderedPageBreak/>
        <w:t>sociales y la asistencia legitimada. La comunidad or</w:t>
      </w:r>
      <w:r>
        <w:rPr>
          <w:rFonts w:ascii="Arial" w:hAnsi="Arial"/>
          <w:sz w:val="24"/>
          <w:szCs w:val="24"/>
        </w:rPr>
        <w:t>ganizada. Evita, las damas de beneficencia y los movimientos de mujeres sufragistas.</w:t>
      </w:r>
    </w:p>
    <w:p w:rsidR="00834968" w:rsidRDefault="005855E6">
      <w:pPr>
        <w:spacing w:line="240" w:lineRule="auto"/>
        <w:jc w:val="both"/>
      </w:pPr>
      <w:r>
        <w:rPr>
          <w:rFonts w:ascii="Arial" w:hAnsi="Arial"/>
          <w:b/>
          <w:bCs/>
          <w:sz w:val="24"/>
          <w:szCs w:val="24"/>
        </w:rPr>
        <w:t xml:space="preserve">Unidad 5. La construcción de la sociedad neoliberal: </w:t>
      </w:r>
      <w:r>
        <w:rPr>
          <w:rFonts w:ascii="Arial" w:hAnsi="Arial"/>
          <w:sz w:val="24"/>
          <w:szCs w:val="24"/>
        </w:rPr>
        <w:t>Disciplinamiento al trabajador. La Doctrina de la Seguridad Nacional. La guerra interna. La guerra psicológica. El ter</w:t>
      </w:r>
      <w:r>
        <w:rPr>
          <w:rFonts w:ascii="Arial" w:hAnsi="Arial"/>
          <w:sz w:val="24"/>
          <w:szCs w:val="24"/>
        </w:rPr>
        <w:t>rorismo de Estado. La dictadura soberana. El shock. La catástrofe social. El ajuste estructural. La gerencia social. La financiarización. Reclasificación y rejerarquización de la sociedad, de la economía y de la ciudad. Desproletarización. segregación soci</w:t>
      </w:r>
      <w:r>
        <w:rPr>
          <w:rFonts w:ascii="Arial" w:hAnsi="Arial"/>
          <w:sz w:val="24"/>
          <w:szCs w:val="24"/>
        </w:rPr>
        <w:t>o-espacial. La femeneización de la pobreza.</w:t>
      </w:r>
    </w:p>
    <w:p w:rsidR="00834968" w:rsidRDefault="005855E6">
      <w:pPr>
        <w:spacing w:line="240" w:lineRule="auto"/>
        <w:jc w:val="both"/>
        <w:rPr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Uidad 6.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La construcción de la sociedad de derecho: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las organizaciones sociales y la reconstrucción del Estado. La vuelta de la política. Inclusión laboral. Solidaridad intergeneracional. La política social como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estrategia. La perspectiva de género, de derecho y la integralidad. Democratización de la comunicación. Reconocimiento y ampliación de derechos: niñez, mujeres y orientación sexual. El modelo de intervención neoestadocéntrico. La subjetividad colectiva y l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 economia social.</w:t>
      </w:r>
    </w:p>
    <w:p w:rsidR="00834968" w:rsidRDefault="005855E6">
      <w:pPr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Unidad 7.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zh-CN"/>
        </w:rPr>
        <w:t xml:space="preserve">La construcción de la sociedad plutocrática: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Capitalismo senil, decadencia y descomposición social. Nuevos espacios oraculares. Nueva doctrina de seguridad nacional. Crisis del capitalismo democrático. Recolonización del territorio. La violencia hacia el otro y los nuevos enemigos internos. Discurso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capitalista y servidumbres voluntarias. Movilización y resistencias. Crisis socioambiental y principio del bien común. La economia popular organizada. Feminismos populares. Economía comunal, autogobierno, poder popular y nueva institucionalidad. </w:t>
      </w:r>
    </w:p>
    <w:p w:rsidR="00834968" w:rsidRDefault="00834968">
      <w:pPr>
        <w:spacing w:line="240" w:lineRule="auto"/>
        <w:jc w:val="both"/>
        <w:rPr>
          <w:rFonts w:ascii="Arial" w:hAnsi="Arial"/>
          <w:b/>
          <w:sz w:val="28"/>
          <w:szCs w:val="28"/>
        </w:rPr>
      </w:pPr>
    </w:p>
    <w:p w:rsidR="00834968" w:rsidRDefault="005855E6">
      <w:pPr>
        <w:spacing w:line="240" w:lineRule="auto"/>
        <w:jc w:val="both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Bibliografía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Alemán, Jorge ( 2014) En la frontera. Sujeto y capitalismo. El malestar del presente neoliberal. Conversaciones con María Victoria Gambel. Ed. Gedisa. Bs. As. Pag 9 a 35.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Argumedo, Alcira (1993) los silencios y las voces en América Latina. No</w:t>
      </w:r>
      <w:r>
        <w:rPr>
          <w:rFonts w:ascii="Arial" w:hAnsi="Arial"/>
          <w:sz w:val="24"/>
          <w:szCs w:val="24"/>
        </w:rPr>
        <w:t>tas sobre el pensamiento nacional y popular. Ediciones pensamiento nacional. Bs.As. Cap 3,4 y 5.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Barberián, Eduardo (2013) Los pueblos indígenas de Córdoba. Ed. Universitas. Córdoba.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Barnaza, claudia. (2013)  2010-2013 diez años de proyecto nacional. Las l</w:t>
      </w:r>
      <w:r>
        <w:rPr>
          <w:rFonts w:ascii="Arial" w:hAnsi="Arial"/>
          <w:sz w:val="24"/>
          <w:szCs w:val="24"/>
        </w:rPr>
        <w:t>eyes que cambiaron la(s) historias (s). Ediciones epc. La plata.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Consejo Episcopal Latinoamericano – CELAM (2017) Síntesis de la carta pastoral. Discípulos misioneros custodios de la casa común. Discernimiento a la luz de la encíclica laudato si. www.vivel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audatosi.org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Ciappina, Carlos María (2009) Los que pensaron la nación. Edulp. La Plata. Cap 2, 3 y 5.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Ciappina, Carlos María (2019) América Latina en disputa: gobierno de los pueblos o Neoliberalismo. Ed. Prueba de galera. Pag 52 a 85.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Ciappina, Carlos M</w:t>
      </w:r>
      <w:r>
        <w:rPr>
          <w:rFonts w:ascii="Arial" w:hAnsi="Arial"/>
          <w:sz w:val="24"/>
          <w:szCs w:val="24"/>
        </w:rPr>
        <w:t xml:space="preserve">aría (2019) Bestiarum Vocabulum. Cuatro años de frases Cambiemos-Pro 2015-2019. Fac de Periodismo-UNLP. Pag 15 a 35. 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Chumbita, Hugo (2017) Bosquejo de historia Argentina. Ed. Ciccus. CABA.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Fallleti, tulia g., Sislián, Fabián y Ansaldi, Waldo (1997) domin</w:t>
      </w:r>
      <w:r>
        <w:rPr>
          <w:rFonts w:ascii="Arial" w:hAnsi="Arial"/>
          <w:sz w:val="24"/>
          <w:szCs w:val="24"/>
        </w:rPr>
        <w:t xml:space="preserve">ación política, redes familiares y clientelismo.  Biblioteca de temas argentinos. Grupo editor universitario. </w:t>
      </w:r>
    </w:p>
    <w:p w:rsidR="00834968" w:rsidRDefault="005855E6">
      <w:pPr>
        <w:pStyle w:val="Default"/>
        <w:ind w:left="567" w:hanging="567"/>
        <w:jc w:val="both"/>
      </w:pPr>
      <w:r>
        <w:rPr>
          <w:rFonts w:eastAsia="Times New Roman"/>
          <w:lang w:eastAsia="zh-CN"/>
        </w:rPr>
        <w:t>Federicci, Silvia (2004) C</w:t>
      </w:r>
      <w:r>
        <w:rPr>
          <w:rFonts w:eastAsia="Times New Roman"/>
          <w:i/>
          <w:iCs/>
          <w:lang w:eastAsia="zh-CN"/>
        </w:rPr>
        <w:t>alibán y la bruja. Mujeres. Cuerpo y acumulación originaria</w:t>
      </w:r>
      <w:r>
        <w:rPr>
          <w:rFonts w:eastAsia="Times New Roman"/>
          <w:lang w:eastAsia="zh-CN"/>
        </w:rPr>
        <w:t xml:space="preserve">. </w:t>
      </w:r>
      <w:r>
        <w:rPr>
          <w:rFonts w:eastAsia="Times New Roman"/>
          <w:lang w:eastAsia="zh-CN"/>
        </w:rPr>
        <w:t>Editorial traficantes de sueños. Capítulos 2 y 5.</w:t>
      </w:r>
    </w:p>
    <w:p w:rsidR="00834968" w:rsidRDefault="005855E6">
      <w:pPr>
        <w:pStyle w:val="Default"/>
        <w:ind w:left="567" w:hanging="567"/>
        <w:jc w:val="both"/>
      </w:pPr>
      <w:r>
        <w:rPr>
          <w:rFonts w:eastAsia="Times New Roman"/>
          <w:lang w:eastAsia="zh-CN"/>
        </w:rPr>
        <w:t xml:space="preserve"> https:/</w:t>
      </w:r>
      <w:r>
        <w:rPr>
          <w:rFonts w:eastAsia="Times New Roman"/>
          <w:lang w:eastAsia="zh-CN"/>
        </w:rPr>
        <w:t>/www.traficantes.net/sites/default/files/pdfs/caliban%20y%20la%20bruja-tds.pdf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Folino, norberto (1966) “Barceló, Ruggierito y el populismo oligárquico. Bs.As. Falbo librero editor. Bs.As.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Giberti, Horacio (1981) Historia económica de la ganadería argentina. Ed. Solar. Cap 2 a 6.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Gómez Romero, Facundo (2012) Vagos desertores y malentretenidos. Radiografía de un gaucho como Martín Fierro. Ed. Vergara. Bs. As. Cap 2 a 7.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Grabois, Juan (2017)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La personería social. CTEP. Confederación de trabajadores de la economía popular. Pag 7 a 20.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Klein, Naomi (2008) la doctrina del shock. El auge del capitalismo del desastre. Editorial paidós.  http://www.katari.org/pdf/shock.pdf</w:t>
      </w:r>
    </w:p>
    <w:p w:rsidR="00834968" w:rsidRDefault="005855E6">
      <w:pPr>
        <w:suppressAutoHyphens/>
        <w:spacing w:after="0" w:line="240" w:lineRule="auto"/>
        <w:ind w:left="567" w:hanging="567"/>
        <w:jc w:val="both"/>
      </w:pPr>
      <w:r>
        <w:rPr>
          <w:rFonts w:ascii="Arial" w:hAnsi="Arial"/>
          <w:sz w:val="24"/>
          <w:szCs w:val="24"/>
        </w:rPr>
        <w:t>Korol, Claudia (2016) Fe</w:t>
      </w:r>
      <w:r>
        <w:rPr>
          <w:rFonts w:ascii="Arial" w:hAnsi="Arial"/>
          <w:sz w:val="24"/>
          <w:szCs w:val="24"/>
        </w:rPr>
        <w:t>minismos populares, pedagogías y políticas. Ed. América libre. CABA.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Kusch, Rodolfo (1953) La Seducción de la barbarie en Kusch, Rodolfo “Obras completas” Tomo I pgs35-167. 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Kusch, Rodolfo (1962) América Profunda. Ed. Biblos. Bs.As.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López, Eduardo (2020) </w:t>
      </w:r>
      <w:r>
        <w:rPr>
          <w:rFonts w:ascii="Arial" w:hAnsi="Arial"/>
          <w:sz w:val="24"/>
          <w:szCs w:val="24"/>
        </w:rPr>
        <w:t xml:space="preserve">Ficha de cátedra N° 1: </w:t>
      </w:r>
      <w:r>
        <w:rPr>
          <w:rFonts w:ascii="Arial" w:hAnsi="Arial"/>
          <w:i/>
          <w:iCs/>
          <w:sz w:val="24"/>
          <w:szCs w:val="24"/>
        </w:rPr>
        <w:t>conceptos generales y cuestión social en el río de la plata.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López, Eduardo (2020) Ficha de cátedra N°2: </w:t>
      </w:r>
      <w:r>
        <w:rPr>
          <w:rFonts w:ascii="Arial" w:hAnsi="Arial"/>
          <w:i/>
          <w:iCs/>
          <w:sz w:val="24"/>
          <w:szCs w:val="24"/>
        </w:rPr>
        <w:t>acumulación originaria, transición al capitalismo e intervención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López, Eduardo (2020) Ficha de cátedra N°3: La construcción de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la sociedad neo-oligárquicala.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López, Eduardo (2020) Ficha de cátedra N°4: La construcción de la comunidad nacional.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López, Eduardo (2020) Ficha de cátedra N°5: La construcción de la sociedad neoliberal.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López, Eduardo (2020) Ficha de cátedra N°6: La </w:t>
      </w:r>
      <w:r>
        <w:rPr>
          <w:rFonts w:ascii="Arial" w:hAnsi="Arial"/>
          <w:sz w:val="24"/>
          <w:szCs w:val="24"/>
        </w:rPr>
        <w:t>construcción de la sociedad de derecho.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López, Eduardo (2020) Ficha de cátedra N°7: La construcción de la sociedad plutocrática.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Mörner, Magnus (1968) Actividades políticas y económicas de los jesuitas en el Río de La Plata. Ed. Hispamérica. Bs. As.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Perdí</w:t>
      </w:r>
      <w:r>
        <w:rPr>
          <w:rFonts w:ascii="Arial" w:hAnsi="Arial"/>
          <w:sz w:val="24"/>
          <w:szCs w:val="24"/>
        </w:rPr>
        <w:t xml:space="preserve">a, Roberto y Silva, Ricardo (2017) Trieño en rojo y negro. La semana trágica, las huelgas de la patagonia, la lucha de los trabajadores de la forestal y los anarquistas. Ed. Planeta. Bs. As. Cap 1 a 4.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Perón, juan domingo (1949) </w:t>
      </w:r>
      <w:r>
        <w:rPr>
          <w:rFonts w:ascii="Arial" w:hAnsi="Arial"/>
          <w:sz w:val="24"/>
          <w:szCs w:val="24"/>
        </w:rPr>
        <w:t>la comunidad organizada. P</w:t>
      </w:r>
      <w:r>
        <w:rPr>
          <w:rFonts w:ascii="Arial" w:hAnsi="Arial"/>
          <w:sz w:val="24"/>
          <w:szCs w:val="24"/>
        </w:rPr>
        <w:t>ublicado por la biblioteca del senado de la nación.  http://bcnbib.gov.ar/uploads/comunidad-org-2a-eddigital.pdf</w:t>
      </w:r>
    </w:p>
    <w:p w:rsidR="00834968" w:rsidRPr="005855E6" w:rsidRDefault="005855E6">
      <w:pPr>
        <w:shd w:val="clear" w:color="auto" w:fill="FFFFFF"/>
        <w:suppressAutoHyphens/>
        <w:spacing w:before="240" w:after="240" w:line="240" w:lineRule="auto"/>
        <w:ind w:left="567" w:hanging="567"/>
        <w:jc w:val="both"/>
        <w:rPr>
          <w:rFonts w:ascii="Arial" w:hAnsi="Arial"/>
          <w:lang w:val="en-US"/>
        </w:rPr>
      </w:pPr>
      <w:r>
        <w:rPr>
          <w:rFonts w:ascii="Arial" w:hAnsi="Arial"/>
          <w:sz w:val="24"/>
          <w:szCs w:val="24"/>
        </w:rPr>
        <w:lastRenderedPageBreak/>
        <w:t xml:space="preserve">Pomer, León (2008) La guerra del Paraguay. </w:t>
      </w:r>
      <w:r w:rsidRPr="005855E6">
        <w:rPr>
          <w:rFonts w:ascii="Arial" w:hAnsi="Arial"/>
          <w:sz w:val="24"/>
          <w:szCs w:val="24"/>
          <w:lang w:val="en-US"/>
        </w:rPr>
        <w:t xml:space="preserve">Ed. Leviatán. Bs. As. Pág 13 a 18. </w:t>
      </w:r>
    </w:p>
    <w:p w:rsidR="00834968" w:rsidRDefault="005855E6">
      <w:pPr>
        <w:shd w:val="clear" w:color="auto" w:fill="FFFFFF"/>
        <w:suppressAutoHyphens/>
        <w:spacing w:before="240" w:after="240" w:line="240" w:lineRule="auto"/>
        <w:ind w:left="567" w:hanging="567"/>
        <w:jc w:val="both"/>
      </w:pPr>
      <w:r>
        <w:rPr>
          <w:rFonts w:ascii="Arial" w:hAnsi="Arial"/>
          <w:sz w:val="24"/>
          <w:szCs w:val="24"/>
        </w:rPr>
        <w:t>Quijano Anibal (2000) – C</w:t>
      </w:r>
      <w:r>
        <w:rPr>
          <w:rFonts w:ascii="Arial" w:hAnsi="Arial"/>
          <w:i/>
          <w:iCs/>
          <w:sz w:val="24"/>
          <w:szCs w:val="24"/>
        </w:rPr>
        <w:t xml:space="preserve">olonialidad del poder, eurocentrismo y </w:t>
      </w:r>
      <w:r>
        <w:rPr>
          <w:rFonts w:ascii="Arial" w:hAnsi="Arial"/>
          <w:i/>
          <w:iCs/>
          <w:sz w:val="24"/>
          <w:szCs w:val="24"/>
        </w:rPr>
        <w:t>américa latina</w:t>
      </w:r>
      <w:r>
        <w:rPr>
          <w:rFonts w:ascii="Arial" w:hAnsi="Arial"/>
          <w:sz w:val="24"/>
          <w:szCs w:val="24"/>
        </w:rPr>
        <w:t xml:space="preserve">.  En  cuestiones y horizontes: de la dependencia histórico-estructural a la colonialidad/descolonialidad del poder. Buenos aires: clacso, 2014 </w:t>
      </w:r>
      <w:hyperlink r:id="rId9">
        <w:r>
          <w:rPr>
            <w:rStyle w:val="EnlacedeInternet"/>
            <w:rFonts w:ascii="Arial" w:hAnsi="Arial"/>
            <w:sz w:val="24"/>
            <w:szCs w:val="24"/>
          </w:rPr>
          <w:t>http://bibl</w:t>
        </w:r>
        <w:r>
          <w:rPr>
            <w:rStyle w:val="EnlacedeInternet"/>
            <w:rFonts w:ascii="Arial" w:hAnsi="Arial"/>
            <w:sz w:val="24"/>
            <w:szCs w:val="24"/>
          </w:rPr>
          <w:t>ioteca.clacso.edu.ar/clacso/se/20140507042402/eje3-8.pdf</w:t>
        </w:r>
      </w:hyperlink>
    </w:p>
    <w:p w:rsidR="00834968" w:rsidRDefault="005855E6">
      <w:pPr>
        <w:pStyle w:val="Default"/>
        <w:ind w:left="567" w:hanging="567"/>
        <w:jc w:val="both"/>
      </w:pPr>
      <w:r>
        <w:rPr>
          <w:rFonts w:eastAsia="Times New Roman"/>
          <w:lang w:eastAsia="zh-CN"/>
        </w:rPr>
        <w:t xml:space="preserve">Ramos, Abelardo (1976) Del patriciado a la oligarquía. </w:t>
      </w:r>
      <w:r w:rsidRPr="005855E6">
        <w:rPr>
          <w:rFonts w:eastAsia="Times New Roman"/>
          <w:lang w:val="en-US" w:eastAsia="zh-CN"/>
        </w:rPr>
        <w:t xml:space="preserve">Ed. Plus Ultra. Bs. As. </w:t>
      </w:r>
      <w:r>
        <w:rPr>
          <w:rFonts w:eastAsia="Times New Roman"/>
          <w:lang w:eastAsia="zh-CN"/>
        </w:rPr>
        <w:t xml:space="preserve">Pag 285 a 308. </w:t>
      </w:r>
    </w:p>
    <w:p w:rsidR="00834968" w:rsidRDefault="005855E6">
      <w:pPr>
        <w:pStyle w:val="Default"/>
        <w:ind w:left="567" w:hanging="567"/>
        <w:jc w:val="both"/>
      </w:pPr>
      <w:r>
        <w:rPr>
          <w:rFonts w:eastAsia="Times New Roman"/>
          <w:lang w:eastAsia="zh-CN"/>
        </w:rPr>
        <w:t xml:space="preserve">Ribeiro, Darcy (1992) Las Américas y la civilización. Casa de las Américas. La Habana. </w:t>
      </w:r>
    </w:p>
    <w:p w:rsidR="00834968" w:rsidRDefault="005855E6">
      <w:pPr>
        <w:pStyle w:val="Default"/>
        <w:ind w:left="567" w:hanging="567"/>
        <w:jc w:val="both"/>
      </w:pPr>
      <w:r>
        <w:rPr>
          <w:rFonts w:eastAsia="Times New Roman"/>
          <w:lang w:eastAsia="zh-CN"/>
        </w:rPr>
        <w:t xml:space="preserve">Robledo, Victor </w:t>
      </w:r>
      <w:r>
        <w:rPr>
          <w:rFonts w:eastAsia="Times New Roman"/>
          <w:lang w:eastAsia="zh-CN"/>
        </w:rPr>
        <w:t>Hugo (2015) La Rioja indígena. Nexo Grupo editor. La Rioja.</w:t>
      </w:r>
    </w:p>
    <w:p w:rsidR="00834968" w:rsidRDefault="005855E6">
      <w:pPr>
        <w:pStyle w:val="Default"/>
        <w:ind w:left="567" w:hanging="567"/>
        <w:jc w:val="both"/>
      </w:pPr>
      <w:r>
        <w:rPr>
          <w:rFonts w:eastAsia="Times New Roman"/>
          <w:lang w:eastAsia="zh-CN"/>
        </w:rPr>
        <w:t>Rodríguez Molas, Ricardo e. (1994) Historia social del gaucho tomos 1 y 2. Centro editor. Caba.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Senado de la nación (1949) constitución de 1949. Publicado por el honorable senado de la nación. htt</w:t>
      </w:r>
      <w:r>
        <w:rPr>
          <w:rFonts w:ascii="Arial" w:hAnsi="Arial"/>
          <w:sz w:val="24"/>
          <w:szCs w:val="24"/>
        </w:rPr>
        <w:t>p://www.wipo.int/edocs/lexdocs/laws/es/ar/ar146es.pdf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Stewart, Frances.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zh-CN"/>
        </w:rPr>
        <w:t>La insuficiencia crónica del ajuste. En B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ustelo, Eduardo (compilador).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zh-CN"/>
        </w:rPr>
        <w:t>Todos entran. Propuesta para sociedades incluyentes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Unicef – ed. Santillana. Bogotá. Año 1998.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Teruggi, Marcos (2015) Lo que Chávez sembró. Testimonios desde el socialismo comunal. Ed. Sudestada. Lomas de Zamora. Pag 7 a 18.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Valdez, Jorge Tapia.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zh-CN"/>
        </w:rPr>
        <w:t xml:space="preserve">La doctrina de la seguridad nacional y el rol político de las fuerzas armadas.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En Rubinstein, Juan Carlo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 “El estado periférico latinoamericano”. Eudeba. Bs.AS. 1988. </w:t>
      </w:r>
    </w:p>
    <w:p w:rsidR="00834968" w:rsidRDefault="005855E6">
      <w:pPr>
        <w:suppressAutoHyphens/>
        <w:spacing w:after="0" w:line="240" w:lineRule="auto"/>
        <w:ind w:left="567" w:hanging="56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Viñas, David (1983) Indios, ejército y frontera. Ed. Santiago Arcos. Bs. As. Pag 93 a 110. </w:t>
      </w:r>
    </w:p>
    <w:p w:rsidR="00834968" w:rsidRDefault="00834968">
      <w:pPr>
        <w:spacing w:line="240" w:lineRule="auto"/>
        <w:jc w:val="both"/>
        <w:rPr>
          <w:rFonts w:ascii="Arial" w:hAnsi="Arial"/>
          <w:b/>
          <w:sz w:val="28"/>
          <w:szCs w:val="28"/>
        </w:rPr>
      </w:pPr>
    </w:p>
    <w:p w:rsidR="00834968" w:rsidRDefault="005855E6">
      <w:pPr>
        <w:spacing w:line="240" w:lineRule="auto"/>
        <w:jc w:val="both"/>
      </w:pPr>
      <w:r>
        <w:rPr>
          <w:rFonts w:ascii="Arial" w:hAnsi="Arial"/>
          <w:b/>
          <w:sz w:val="28"/>
          <w:szCs w:val="28"/>
        </w:rPr>
        <w:t>Material audiovisual</w:t>
      </w:r>
    </w:p>
    <w:p w:rsidR="00834968" w:rsidRDefault="005855E6">
      <w:pPr>
        <w:spacing w:line="24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Video “El despertar de iberoamerica” – Ciese</w:t>
      </w:r>
    </w:p>
    <w:p w:rsidR="00834968" w:rsidRDefault="005855E6">
      <w:pPr>
        <w:spacing w:line="24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Video “Dueñas de su destino” – So</w:t>
      </w:r>
      <w:r>
        <w:rPr>
          <w:rFonts w:ascii="Arial" w:hAnsi="Arial"/>
          <w:sz w:val="24"/>
          <w:szCs w:val="24"/>
        </w:rPr>
        <w:t>ledad del Cueto</w:t>
      </w:r>
    </w:p>
    <w:p w:rsidR="00834968" w:rsidRDefault="005855E6">
      <w:pPr>
        <w:spacing w:line="24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Video “Peron 100 años” – Canal Encuentro</w:t>
      </w:r>
    </w:p>
    <w:p w:rsidR="00834968" w:rsidRDefault="005855E6">
      <w:pPr>
        <w:spacing w:line="24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Video “La teoría del Shock” – Naomi Klein</w:t>
      </w:r>
    </w:p>
    <w:p w:rsidR="00834968" w:rsidRDefault="005855E6">
      <w:pPr>
        <w:spacing w:line="24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Video “La dignidad de los nadies” Pino Solanas</w:t>
      </w:r>
    </w:p>
    <w:p w:rsidR="00834968" w:rsidRDefault="005855E6">
      <w:pPr>
        <w:spacing w:line="24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Video “Algo está cambiando” - Agrupación barrial Tupak Amaru</w:t>
      </w:r>
    </w:p>
    <w:p w:rsidR="00834968" w:rsidRDefault="005855E6">
      <w:pPr>
        <w:spacing w:line="240" w:lineRule="auto"/>
        <w:jc w:val="both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Metodología de cursada y evaluación</w:t>
      </w:r>
    </w:p>
    <w:p w:rsidR="00834968" w:rsidRDefault="005855E6">
      <w:pPr>
        <w:spacing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El seminario propuesto es de carácter teórico.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Las clases tendrán una dinámica compuesta por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momentos de aproximadamente una hora 20 separados por pequeños descansos de diez minutos y un cierre. En el primer momento se realizará una clase expositiva donde se presentarán los principales aspectos históricos, el clima de época y el marco conceptual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correspondiente al período tratado asistido por filminas como recurso facilitador del material teórico  correspondiente. En el segundo momento se presentará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material audiovisual seleccionado conforme a la época trabajada, las intervenciones típicas y los 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ópicos de interés de los maestrandos. En cierre se  se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conversará sobre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casos concretos de intervenciones o experiencias presentes a partir de material o refere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ias presentadas por los maestrandos que se relacionen con elementos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 momento histórico vist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en clase. </w:t>
      </w:r>
    </w:p>
    <w:p w:rsidR="00834968" w:rsidRDefault="005855E6">
      <w:pPr>
        <w:shd w:val="clear" w:color="auto" w:fill="FFFFFF"/>
        <w:spacing w:before="240" w:after="24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5 - MODALIDAD DE EVALUACIÓN Y REQUISITOS DE APROBACIÓN</w:t>
      </w:r>
    </w:p>
    <w:p w:rsidR="00834968" w:rsidRDefault="005855E6">
      <w:pPr>
        <w:shd w:val="clear" w:color="auto" w:fill="FFFFFF"/>
        <w:suppressAutoHyphens/>
        <w:spacing w:before="240" w:after="240" w:line="240" w:lineRule="auto"/>
        <w:ind w:firstLine="567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or el carácter de la materia y los contenidos se propone una aprobación basada en un presentismo del 80% del total de las clases dictadas y una evaluación que puede tener dos modalidades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834968" w:rsidRDefault="005855E6">
      <w:pPr>
        <w:shd w:val="clear" w:color="auto" w:fill="FFFFFF"/>
        <w:suppressAutoHyphens/>
        <w:spacing w:before="240" w:after="240"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1 - </w:t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Trabajo final trabajo final integrador: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 trabajo debe estar enmarcado en uno de los temas trabajados en el curso y podrá ser de tipo monográfico o de tipo empírico. En la modalidad empírica debe incluir un análisis original sobre un proceso de int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ervención real documentado a partir de trabajos, reseñas, investigaciones, etc tomando algunos de los procesos o temáticas analizadas en el curso. En ambos casos se podrá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utilizar diversidad de fuentes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incluyendo documentos publicados en la web. La entrega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 trabajo deberá cumplir los requerimientos formales y temporales vigentes en la carrera. </w:t>
      </w:r>
    </w:p>
    <w:p w:rsidR="00834968" w:rsidRDefault="005855E6">
      <w:pPr>
        <w:shd w:val="clear" w:color="auto" w:fill="FFFFFF"/>
        <w:suppressAutoHyphens/>
        <w:spacing w:before="240" w:after="240"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2- </w:t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Trabajos parciales: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 finalizar cada unidad, coincidente con cada etapa histórica se deberá  presentar, en un plazo no mayor a quince dias, un trabajo práctic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por cada una de las etapas históricas/unidad trabajadas en el curso. Los trabajos parciales deberán incluir un análisis original sobre intervenciones actuales o pasadas analizadas desde los ángulos teóricos vistos en la unidad o etapa histórica.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 deber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án poner de relieve las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analogías de las intervenciones actuales con las formas históricas, los contrastes y/o persistencia de retazos del pasado en el presente. Los trabajos parciales con observaciones o desaprobados podrán ser revisados o rehechos y vuel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tos a presentar dentro del plazo de la cursada. Cada trabajo práctico se aprueba con mínimo 6. </w:t>
      </w:r>
    </w:p>
    <w:p w:rsidR="00834968" w:rsidRDefault="005855E6">
      <w:pPr>
        <w:shd w:val="clear" w:color="auto" w:fill="FFFFFF"/>
        <w:suppressAutoHyphens/>
        <w:spacing w:before="240" w:after="24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Tomando como base la nota del trabajo final o el promedio de los trabajos parciales aprobados, el seminario se calificara con una nota de 1 a diez y se aprobará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una nota superior a seis.</w:t>
      </w:r>
    </w:p>
    <w:p w:rsidR="00834968" w:rsidRDefault="005855E6">
      <w:pPr>
        <w:shd w:val="clear" w:color="auto" w:fill="FFFFFF"/>
        <w:spacing w:before="240" w:after="240" w:line="240" w:lineRule="auto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Dr. Eduardo López</w:t>
      </w:r>
    </w:p>
    <w:p w:rsidR="00834968" w:rsidRDefault="005855E6">
      <w:pPr>
        <w:shd w:val="clear" w:color="auto" w:fill="FFFFFF"/>
        <w:spacing w:before="240" w:after="240" w:line="240" w:lineRule="auto"/>
        <w:jc w:val="right"/>
      </w:pPr>
      <w:r>
        <w:rPr>
          <w:rStyle w:val="EnlacedeInternet"/>
          <w:rFonts w:ascii="Arial" w:hAnsi="Arial" w:cs="Arial"/>
          <w:color w:val="000000"/>
          <w:sz w:val="24"/>
          <w:szCs w:val="24"/>
          <w:highlight w:val="white"/>
        </w:rPr>
        <w:t>elopez@trabajosocial.unlp.edu.ar</w:t>
      </w:r>
    </w:p>
    <w:sectPr w:rsidR="00834968">
      <w:type w:val="continuous"/>
      <w:pgSz w:w="11906" w:h="16838"/>
      <w:pgMar w:top="1985" w:right="1701" w:bottom="1417" w:left="1701" w:header="56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55E6">
      <w:pPr>
        <w:spacing w:after="0" w:line="240" w:lineRule="auto"/>
      </w:pPr>
      <w:r>
        <w:separator/>
      </w:r>
    </w:p>
  </w:endnote>
  <w:endnote w:type="continuationSeparator" w:id="0">
    <w:p w:rsidR="00000000" w:rsidRDefault="0058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ek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55E6">
      <w:pPr>
        <w:spacing w:after="0" w:line="240" w:lineRule="auto"/>
      </w:pPr>
      <w:r>
        <w:separator/>
      </w:r>
    </w:p>
  </w:footnote>
  <w:footnote w:type="continuationSeparator" w:id="0">
    <w:p w:rsidR="00000000" w:rsidRDefault="0058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68" w:rsidRDefault="005855E6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ES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77470</wp:posOffset>
          </wp:positionV>
          <wp:extent cx="7089140" cy="760095"/>
          <wp:effectExtent l="0" t="0" r="0" b="0"/>
          <wp:wrapSquare wrapText="bothSides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914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34968" w:rsidRDefault="0083496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2BDE"/>
    <w:multiLevelType w:val="multilevel"/>
    <w:tmpl w:val="19C06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431D7970"/>
    <w:multiLevelType w:val="multilevel"/>
    <w:tmpl w:val="3DF0B5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68"/>
    <w:rsid w:val="005855E6"/>
    <w:rsid w:val="0083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Destacado">
    <w:name w:val="Destacado"/>
    <w:qFormat/>
    <w:rPr>
      <w:i/>
      <w:iCs/>
    </w:rPr>
  </w:style>
  <w:style w:type="character" w:customStyle="1" w:styleId="Cita1">
    <w:name w:val="Cita1"/>
    <w:qFormat/>
    <w:rPr>
      <w:i/>
      <w:iCs/>
    </w:rPr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rrafodelista">
    <w:name w:val="List Paragraph"/>
    <w:basedOn w:val="Normal"/>
    <w:qFormat/>
    <w:pPr>
      <w:spacing w:after="200"/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Arial" w:eastAsia="Droid Sans Fallback" w:hAnsi="Arial" w:cs="Arial"/>
      <w:color w:val="000000"/>
      <w:sz w:val="24"/>
      <w:szCs w:val="24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Destacado">
    <w:name w:val="Destacado"/>
    <w:qFormat/>
    <w:rPr>
      <w:i/>
      <w:iCs/>
    </w:rPr>
  </w:style>
  <w:style w:type="character" w:customStyle="1" w:styleId="Cita1">
    <w:name w:val="Cita1"/>
    <w:qFormat/>
    <w:rPr>
      <w:i/>
      <w:iCs/>
    </w:rPr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rrafodelista">
    <w:name w:val="List Paragraph"/>
    <w:basedOn w:val="Normal"/>
    <w:qFormat/>
    <w:pPr>
      <w:spacing w:after="200"/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Arial" w:eastAsia="Droid Sans Fallback" w:hAnsi="Arial" w:cs="Arial"/>
      <w:color w:val="000000"/>
      <w:sz w:val="24"/>
      <w:szCs w:val="24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teca.clacso.edu.ar/clacso/se/20140507042402/eje3-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2317</Words>
  <Characters>12744</Characters>
  <Application>Microsoft Office Word</Application>
  <DocSecurity>4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Soler</dc:creator>
  <cp:lastModifiedBy>BARBARA GISELLE ESTER MORANA</cp:lastModifiedBy>
  <cp:revision>2</cp:revision>
  <dcterms:created xsi:type="dcterms:W3CDTF">2020-03-03T17:09:00Z</dcterms:created>
  <dcterms:modified xsi:type="dcterms:W3CDTF">2020-03-03T17:09:00Z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