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B0" w:rsidRDefault="001A5117">
      <w:pPr>
        <w:jc w:val="center"/>
        <w:rPr>
          <w:rFonts w:ascii="Teko" w:eastAsia="Teko" w:hAnsi="Teko" w:cs="Teko"/>
          <w:b/>
          <w:sz w:val="40"/>
          <w:szCs w:val="40"/>
        </w:rPr>
      </w:pPr>
      <w:bookmarkStart w:id="0" w:name="_GoBack"/>
      <w:bookmarkEnd w:id="0"/>
      <w:r>
        <w:rPr>
          <w:rFonts w:ascii="Teko" w:eastAsia="Teko" w:hAnsi="Teko" w:cs="Teko"/>
          <w:b/>
          <w:sz w:val="40"/>
          <w:szCs w:val="40"/>
        </w:rPr>
        <w:t>Maestría en</w:t>
      </w:r>
      <w:r w:rsidR="00D937B0">
        <w:rPr>
          <w:rFonts w:ascii="Teko" w:eastAsia="Teko" w:hAnsi="Teko" w:cs="Teko"/>
          <w:b/>
          <w:sz w:val="40"/>
          <w:szCs w:val="40"/>
        </w:rPr>
        <w:t xml:space="preserve"> Comunicación y Cultura</w:t>
      </w:r>
    </w:p>
    <w:p w:rsidR="00F2149E" w:rsidRDefault="001A5117">
      <w:pPr>
        <w:jc w:val="center"/>
        <w:rPr>
          <w:rFonts w:ascii="Teko" w:eastAsia="Teko" w:hAnsi="Teko" w:cs="Teko"/>
          <w:b/>
          <w:sz w:val="40"/>
          <w:szCs w:val="40"/>
        </w:rPr>
      </w:pPr>
      <w:r>
        <w:rPr>
          <w:rFonts w:ascii="Teko" w:eastAsia="Teko" w:hAnsi="Teko" w:cs="Teko"/>
          <w:b/>
          <w:sz w:val="40"/>
          <w:szCs w:val="40"/>
        </w:rPr>
        <w:t>Ciclo lectivo 2020</w:t>
      </w:r>
    </w:p>
    <w:p w:rsidR="00F2149E" w:rsidRDefault="00D937B0" w:rsidP="00D937B0">
      <w:pPr>
        <w:jc w:val="center"/>
        <w:rPr>
          <w:b/>
          <w:sz w:val="28"/>
          <w:szCs w:val="28"/>
        </w:rPr>
      </w:pPr>
      <w:r>
        <w:rPr>
          <w:b/>
          <w:sz w:val="28"/>
          <w:szCs w:val="28"/>
        </w:rPr>
        <w:t>Filosofía de la Cultura</w:t>
      </w:r>
    </w:p>
    <w:p w:rsidR="00F2149E" w:rsidRDefault="00F2149E">
      <w:pPr>
        <w:jc w:val="both"/>
        <w:rPr>
          <w:b/>
          <w:sz w:val="28"/>
          <w:szCs w:val="28"/>
        </w:rPr>
        <w:sectPr w:rsidR="00F2149E">
          <w:headerReference w:type="default" r:id="rId8"/>
          <w:pgSz w:w="11906" w:h="16838"/>
          <w:pgMar w:top="1985" w:right="1701" w:bottom="1417" w:left="1701" w:header="568" w:footer="708" w:gutter="0"/>
          <w:pgNumType w:start="1"/>
          <w:cols w:space="720" w:equalWidth="0">
            <w:col w:w="8838"/>
          </w:cols>
        </w:sectPr>
      </w:pPr>
    </w:p>
    <w:p w:rsidR="00F2149E" w:rsidRDefault="00D937B0">
      <w:pPr>
        <w:jc w:val="both"/>
        <w:rPr>
          <w:b/>
          <w:sz w:val="32"/>
          <w:szCs w:val="32"/>
        </w:rPr>
      </w:pPr>
      <w:r>
        <w:rPr>
          <w:b/>
          <w:sz w:val="32"/>
          <w:szCs w:val="32"/>
        </w:rPr>
        <w:lastRenderedPageBreak/>
        <w:t>Docente</w:t>
      </w:r>
    </w:p>
    <w:p w:rsidR="00F2149E" w:rsidRDefault="00F2149E">
      <w:pPr>
        <w:jc w:val="both"/>
        <w:rPr>
          <w:b/>
          <w:sz w:val="24"/>
          <w:szCs w:val="24"/>
        </w:rPr>
        <w:sectPr w:rsidR="00F2149E">
          <w:type w:val="continuous"/>
          <w:pgSz w:w="11906" w:h="16838"/>
          <w:pgMar w:top="1523" w:right="1701" w:bottom="1417" w:left="1701" w:header="568" w:footer="708" w:gutter="0"/>
          <w:cols w:space="720" w:equalWidth="0">
            <w:col w:w="8838"/>
          </w:cols>
        </w:sectPr>
      </w:pPr>
    </w:p>
    <w:p w:rsidR="00F2149E" w:rsidRDefault="00D937B0">
      <w:pPr>
        <w:spacing w:line="240" w:lineRule="auto"/>
        <w:jc w:val="both"/>
        <w:rPr>
          <w:b/>
          <w:sz w:val="24"/>
          <w:szCs w:val="24"/>
        </w:rPr>
      </w:pPr>
      <w:r>
        <w:rPr>
          <w:b/>
          <w:sz w:val="24"/>
          <w:szCs w:val="24"/>
        </w:rPr>
        <w:lastRenderedPageBreak/>
        <w:t>Pablo Rodríguez</w:t>
      </w:r>
    </w:p>
    <w:p w:rsidR="00F2149E" w:rsidRDefault="001A5117">
      <w:pPr>
        <w:spacing w:line="240" w:lineRule="auto"/>
        <w:jc w:val="both"/>
        <w:rPr>
          <w:b/>
          <w:sz w:val="28"/>
          <w:szCs w:val="28"/>
        </w:rPr>
      </w:pPr>
      <w:r>
        <w:br w:type="column"/>
      </w:r>
      <w:r>
        <w:rPr>
          <w:sz w:val="24"/>
          <w:szCs w:val="24"/>
        </w:rPr>
        <w:lastRenderedPageBreak/>
        <w:t xml:space="preserve"> </w:t>
      </w:r>
      <w:r w:rsidR="00D937B0" w:rsidRPr="009C705A">
        <w:rPr>
          <w:sz w:val="18"/>
          <w:szCs w:val="18"/>
        </w:rPr>
        <w:t>Doctor en Ciencias Sociales (UBA). Magister en Comunicación y Cultura (UBA) y Master en Comunicación, Tecnologías y Poder (</w:t>
      </w:r>
      <w:proofErr w:type="spellStart"/>
      <w:r w:rsidR="00D937B0" w:rsidRPr="009C705A">
        <w:rPr>
          <w:sz w:val="18"/>
          <w:szCs w:val="18"/>
        </w:rPr>
        <w:t>Université</w:t>
      </w:r>
      <w:proofErr w:type="spellEnd"/>
      <w:r w:rsidR="00D937B0" w:rsidRPr="009C705A">
        <w:rPr>
          <w:sz w:val="18"/>
          <w:szCs w:val="18"/>
        </w:rPr>
        <w:t xml:space="preserve"> de Paris I, </w:t>
      </w:r>
      <w:proofErr w:type="spellStart"/>
      <w:r w:rsidR="00D937B0" w:rsidRPr="009C705A">
        <w:rPr>
          <w:sz w:val="18"/>
          <w:szCs w:val="18"/>
        </w:rPr>
        <w:t>Panthéon-Sorbonne</w:t>
      </w:r>
      <w:proofErr w:type="spellEnd"/>
      <w:r w:rsidR="00D937B0" w:rsidRPr="009C705A">
        <w:rPr>
          <w:sz w:val="18"/>
          <w:szCs w:val="18"/>
        </w:rPr>
        <w:t>). Investigador A</w:t>
      </w:r>
      <w:r w:rsidR="00D937B0">
        <w:rPr>
          <w:sz w:val="18"/>
          <w:szCs w:val="18"/>
        </w:rPr>
        <w:t>djunto</w:t>
      </w:r>
      <w:r w:rsidR="00D937B0" w:rsidRPr="009C705A">
        <w:rPr>
          <w:sz w:val="18"/>
          <w:szCs w:val="18"/>
        </w:rPr>
        <w:t>.</w:t>
      </w:r>
    </w:p>
    <w:p w:rsidR="00F2149E" w:rsidRDefault="00F2149E">
      <w:pPr>
        <w:spacing w:line="240" w:lineRule="auto"/>
        <w:jc w:val="both"/>
        <w:rPr>
          <w:sz w:val="28"/>
          <w:szCs w:val="28"/>
        </w:rPr>
        <w:sectPr w:rsidR="00F2149E">
          <w:type w:val="continuous"/>
          <w:pgSz w:w="11906" w:h="16838"/>
          <w:pgMar w:top="1523" w:right="1701" w:bottom="1417" w:left="1701" w:header="568" w:footer="708" w:gutter="0"/>
          <w:cols w:num="2" w:space="720" w:equalWidth="0">
            <w:col w:w="3897" w:space="708"/>
            <w:col w:w="3897" w:space="0"/>
          </w:cols>
        </w:sectPr>
      </w:pPr>
    </w:p>
    <w:p w:rsidR="00F2149E" w:rsidRDefault="00F2149E">
      <w:pPr>
        <w:spacing w:line="240" w:lineRule="auto"/>
        <w:jc w:val="both"/>
        <w:rPr>
          <w:b/>
          <w:sz w:val="28"/>
          <w:szCs w:val="28"/>
        </w:rPr>
      </w:pPr>
    </w:p>
    <w:p w:rsidR="00F2149E" w:rsidRPr="007E037E" w:rsidRDefault="001A5117">
      <w:pPr>
        <w:spacing w:line="240" w:lineRule="auto"/>
        <w:jc w:val="both"/>
        <w:rPr>
          <w:rFonts w:asciiTheme="majorHAnsi" w:hAnsiTheme="majorHAnsi" w:cstheme="majorHAnsi"/>
          <w:b/>
        </w:rPr>
      </w:pPr>
      <w:r w:rsidRPr="007E037E">
        <w:rPr>
          <w:rFonts w:asciiTheme="majorHAnsi" w:hAnsiTheme="majorHAnsi" w:cstheme="majorHAnsi"/>
          <w:b/>
        </w:rPr>
        <w:t xml:space="preserve">Fundamentación </w:t>
      </w:r>
    </w:p>
    <w:p w:rsidR="00A22CE6" w:rsidRPr="007E037E" w:rsidRDefault="00A22CE6" w:rsidP="00A22CE6">
      <w:pPr>
        <w:jc w:val="both"/>
        <w:rPr>
          <w:rFonts w:asciiTheme="majorHAnsi" w:hAnsiTheme="majorHAnsi" w:cstheme="majorHAnsi"/>
        </w:rPr>
      </w:pPr>
      <w:r w:rsidRPr="007E037E">
        <w:rPr>
          <w:rFonts w:asciiTheme="majorHAnsi" w:hAnsiTheme="majorHAnsi" w:cstheme="majorHAnsi"/>
        </w:rPr>
        <w:t xml:space="preserve">La filosofía de la cultura como disciplina y área de investigación está estrechamente ligada con el proyecto moderno occidental. Sus contornos no están demasiado claros pues, aunque no faltaron propuestas de definición, algunas de ellas complejas y a la vez simples (como las de Ernst </w:t>
      </w:r>
      <w:proofErr w:type="spellStart"/>
      <w:r w:rsidRPr="007E037E">
        <w:rPr>
          <w:rFonts w:asciiTheme="majorHAnsi" w:hAnsiTheme="majorHAnsi" w:cstheme="majorHAnsi"/>
        </w:rPr>
        <w:t>Cassirer</w:t>
      </w:r>
      <w:proofErr w:type="spellEnd"/>
      <w:r w:rsidRPr="007E037E">
        <w:rPr>
          <w:rFonts w:asciiTheme="majorHAnsi" w:hAnsiTheme="majorHAnsi" w:cstheme="majorHAnsi"/>
        </w:rPr>
        <w:t xml:space="preserve">), la crisis del proyecto moderno que la vio nacer, sumada a los quiebres que se produjeron en el siglo XX sobre qué es la filosofía y qué es la cultura, supuso una merma en la confianza de los discursos que promovían una “filosofía de la cultura”. Es posible que, en el siglo XIX, la filosofía de la cultura estuviera escoltada por otros saberes de gran prestigio, sobre todo en </w:t>
      </w:r>
      <w:smartTag w:uri="urn:schemas-microsoft-com:office:smarttags" w:element="PersonName">
        <w:smartTagPr>
          <w:attr w:name="ProductID" w:val="la Europa"/>
        </w:smartTagPr>
        <w:r w:rsidRPr="007E037E">
          <w:rPr>
            <w:rFonts w:asciiTheme="majorHAnsi" w:hAnsiTheme="majorHAnsi" w:cstheme="majorHAnsi"/>
          </w:rPr>
          <w:t>la Europa</w:t>
        </w:r>
      </w:smartTag>
      <w:r w:rsidRPr="007E037E">
        <w:rPr>
          <w:rFonts w:asciiTheme="majorHAnsi" w:hAnsiTheme="majorHAnsi" w:cstheme="majorHAnsi"/>
        </w:rPr>
        <w:t xml:space="preserve"> continental, como la antropología filosófica, la historia de las ideas y la teoría estética. Sin embargo, en los inicios del siglo XXI, es tan importante retrotraerse a aquellos tiempos como señalar las zonas de dispersión que se abrieron después para dar forma a un horizonte filosófico y cultural muy diferente de lo que pretendía el proyecto moderno. Consideramos que este proceso abre muchas oportunidades para “pensar de otro modo”, en lugar de detenerse en un lamento por un mundo equilibrado definitivamente perdido.</w:t>
      </w:r>
    </w:p>
    <w:p w:rsidR="00A22CE6" w:rsidRPr="007E037E" w:rsidRDefault="00A22CE6" w:rsidP="00A22CE6">
      <w:pPr>
        <w:jc w:val="both"/>
        <w:rPr>
          <w:rFonts w:asciiTheme="majorHAnsi" w:hAnsiTheme="majorHAnsi" w:cstheme="majorHAnsi"/>
        </w:rPr>
      </w:pPr>
      <w:r w:rsidRPr="007E037E">
        <w:rPr>
          <w:rFonts w:asciiTheme="majorHAnsi" w:hAnsiTheme="majorHAnsi" w:cstheme="majorHAnsi"/>
        </w:rPr>
        <w:tab/>
        <w:t xml:space="preserve">Un seminario sobre filosofía de la cultura en el ámbito de una Maestría en Comunicación y Cultura requiere el establecimiento de algunos ejes imprescindibles para atravesar la complejidad de este tema. Primero, en la medida en que se trata de una cursada obligatoria y no optativa, debe ser introductorio, buscando ofrecer un panorama antes que una sola línea de investigación, sin pretensión de exhaustividad ni mucho menos de “neutralidad valorativa”, pues la crisis de la modernidad filosófica sólo puede ser abordada desde firmes posicionamientos. Segundo, el seminario debe atender a la problemática concreta de la comunicación en el marco de los procesos culturales, y no sólo por motivos nominalistas, sino también y sobre todo porque los fenómenos de la información y de la comunicación en el siglo XX configuran buena parte de la experiencia de la cultura en la actualidad. Y tercero, al inscribirse en un programa de estudios más amplio, este seminario debe poder distinguir lo que corresponde a una “filosofía de la cultura” respecto de las otras disciplinas que abordan lo cultural: la antropología, la sociología, etc., que serán estudiadas en otros seminarios. </w:t>
      </w:r>
    </w:p>
    <w:p w:rsidR="00F2149E" w:rsidRPr="007E037E" w:rsidRDefault="00F2149E">
      <w:pPr>
        <w:spacing w:line="240" w:lineRule="auto"/>
        <w:jc w:val="both"/>
        <w:rPr>
          <w:rFonts w:asciiTheme="majorHAnsi" w:hAnsiTheme="majorHAnsi" w:cstheme="majorHAnsi"/>
          <w:b/>
        </w:rPr>
      </w:pPr>
    </w:p>
    <w:p w:rsidR="00DD06E7" w:rsidRPr="007E037E" w:rsidRDefault="00DD06E7">
      <w:pPr>
        <w:spacing w:line="240" w:lineRule="auto"/>
        <w:jc w:val="both"/>
        <w:rPr>
          <w:rFonts w:asciiTheme="majorHAnsi" w:hAnsiTheme="majorHAnsi" w:cstheme="majorHAnsi"/>
          <w:b/>
        </w:rPr>
      </w:pPr>
    </w:p>
    <w:p w:rsidR="00F2149E" w:rsidRPr="007E037E" w:rsidRDefault="001A5117">
      <w:pPr>
        <w:spacing w:line="240" w:lineRule="auto"/>
        <w:jc w:val="both"/>
        <w:rPr>
          <w:rFonts w:asciiTheme="majorHAnsi" w:hAnsiTheme="majorHAnsi" w:cstheme="majorHAnsi"/>
          <w:b/>
        </w:rPr>
      </w:pPr>
      <w:r w:rsidRPr="007E037E">
        <w:rPr>
          <w:rFonts w:asciiTheme="majorHAnsi" w:hAnsiTheme="majorHAnsi" w:cstheme="majorHAnsi"/>
          <w:b/>
        </w:rPr>
        <w:t>Objetivos</w:t>
      </w:r>
    </w:p>
    <w:p w:rsidR="00DD06E7" w:rsidRPr="007E037E" w:rsidRDefault="00DD06E7" w:rsidP="00DD06E7">
      <w:pPr>
        <w:rPr>
          <w:rFonts w:asciiTheme="majorHAnsi" w:hAnsiTheme="majorHAnsi" w:cstheme="majorHAnsi"/>
          <w:b/>
        </w:rPr>
      </w:pPr>
      <w:r w:rsidRPr="007E037E">
        <w:rPr>
          <w:rFonts w:asciiTheme="majorHAnsi" w:hAnsiTheme="majorHAnsi" w:cstheme="majorHAnsi"/>
          <w:b/>
        </w:rPr>
        <w:lastRenderedPageBreak/>
        <w:t>. Objetivos</w:t>
      </w:r>
    </w:p>
    <w:p w:rsidR="00DD06E7" w:rsidRPr="007E037E" w:rsidRDefault="00DD06E7" w:rsidP="00DD06E7">
      <w:pPr>
        <w:jc w:val="both"/>
        <w:rPr>
          <w:rFonts w:asciiTheme="majorHAnsi" w:hAnsiTheme="majorHAnsi" w:cstheme="majorHAnsi"/>
        </w:rPr>
      </w:pPr>
      <w:r w:rsidRPr="007E037E">
        <w:rPr>
          <w:rFonts w:asciiTheme="majorHAnsi" w:hAnsiTheme="majorHAnsi" w:cstheme="majorHAnsi"/>
        </w:rPr>
        <w:t>- Introducir a los alumnos en la definición clásica-moderna de la filosofía de la cultura, seleccionando autores canónicos en la materia.</w:t>
      </w:r>
    </w:p>
    <w:p w:rsidR="00DD06E7" w:rsidRPr="007E037E" w:rsidRDefault="00DD06E7" w:rsidP="00DD06E7">
      <w:pPr>
        <w:jc w:val="both"/>
        <w:rPr>
          <w:rFonts w:asciiTheme="majorHAnsi" w:hAnsiTheme="majorHAnsi" w:cstheme="majorHAnsi"/>
        </w:rPr>
      </w:pPr>
      <w:r w:rsidRPr="007E037E">
        <w:rPr>
          <w:rFonts w:asciiTheme="majorHAnsi" w:hAnsiTheme="majorHAnsi" w:cstheme="majorHAnsi"/>
        </w:rPr>
        <w:t>- Describir la crisis de tal definición en el seno del siglo XX y su impacto en las diversas manifestaciones de “la cultura”: lenguaje, arte, historia.</w:t>
      </w:r>
    </w:p>
    <w:p w:rsidR="00DD06E7" w:rsidRPr="007E037E" w:rsidRDefault="00DD06E7" w:rsidP="00DD06E7">
      <w:pPr>
        <w:jc w:val="both"/>
        <w:rPr>
          <w:rFonts w:asciiTheme="majorHAnsi" w:hAnsiTheme="majorHAnsi" w:cstheme="majorHAnsi"/>
        </w:rPr>
      </w:pPr>
      <w:r w:rsidRPr="007E037E">
        <w:rPr>
          <w:rFonts w:asciiTheme="majorHAnsi" w:hAnsiTheme="majorHAnsi" w:cstheme="majorHAnsi"/>
        </w:rPr>
        <w:t>- Analizar el vínculo entre teorías y prácticas de la comunicación y de la información en la construcción de una nueva “experiencia de la cultura”.</w:t>
      </w:r>
    </w:p>
    <w:p w:rsidR="00DD06E7" w:rsidRPr="007E037E" w:rsidRDefault="00DD06E7" w:rsidP="00DD06E7">
      <w:pPr>
        <w:jc w:val="both"/>
        <w:rPr>
          <w:rFonts w:asciiTheme="majorHAnsi" w:hAnsiTheme="majorHAnsi" w:cstheme="majorHAnsi"/>
        </w:rPr>
      </w:pPr>
      <w:r w:rsidRPr="007E037E">
        <w:rPr>
          <w:rFonts w:asciiTheme="majorHAnsi" w:hAnsiTheme="majorHAnsi" w:cstheme="majorHAnsi"/>
        </w:rPr>
        <w:t>- Estudiar el proceso por el cual la “autoimagen” de la cultura occidental resulta progresivamente destruida en las fases actuales de expansión del capitalismo a nivel mundial que suelen describirse con los términos “globalización” y “mundialización”.</w:t>
      </w:r>
    </w:p>
    <w:p w:rsidR="00DD06E7" w:rsidRPr="007E037E" w:rsidRDefault="00DD06E7" w:rsidP="00DD06E7">
      <w:pPr>
        <w:jc w:val="both"/>
        <w:rPr>
          <w:rFonts w:asciiTheme="majorHAnsi" w:hAnsiTheme="majorHAnsi" w:cstheme="majorHAnsi"/>
        </w:rPr>
      </w:pPr>
      <w:r w:rsidRPr="007E037E">
        <w:rPr>
          <w:rFonts w:asciiTheme="majorHAnsi" w:hAnsiTheme="majorHAnsi" w:cstheme="majorHAnsi"/>
        </w:rPr>
        <w:t>- Introducir a los alumnos en definiciones alternativas de la filosofía de la cultura que, aun sin nombrarse como tales, constituyen apuestas desde la filosofía para dotar de sentido a la nueva experiencia de la cultura luego de las crisis mencionadas.</w:t>
      </w:r>
    </w:p>
    <w:p w:rsidR="00DD06E7" w:rsidRPr="007E037E" w:rsidRDefault="00DD06E7">
      <w:pPr>
        <w:spacing w:line="240" w:lineRule="auto"/>
        <w:jc w:val="both"/>
        <w:rPr>
          <w:rFonts w:asciiTheme="majorHAnsi" w:hAnsiTheme="majorHAnsi" w:cstheme="majorHAnsi"/>
          <w:b/>
        </w:rPr>
      </w:pPr>
    </w:p>
    <w:p w:rsidR="00F2149E" w:rsidRPr="007E037E" w:rsidRDefault="001A5117">
      <w:pPr>
        <w:spacing w:line="240" w:lineRule="auto"/>
        <w:jc w:val="both"/>
        <w:rPr>
          <w:rFonts w:asciiTheme="majorHAnsi" w:hAnsiTheme="majorHAnsi" w:cstheme="majorHAnsi"/>
          <w:b/>
        </w:rPr>
      </w:pPr>
      <w:r w:rsidRPr="007E037E">
        <w:rPr>
          <w:rFonts w:asciiTheme="majorHAnsi" w:hAnsiTheme="majorHAnsi" w:cstheme="majorHAnsi"/>
          <w:b/>
        </w:rPr>
        <w:t>Unidades</w:t>
      </w: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 xml:space="preserve">UNIDAD 1: </w:t>
      </w:r>
      <w:smartTag w:uri="urn:schemas-microsoft-com:office:smarttags" w:element="PersonName">
        <w:smartTagPr>
          <w:attr w:name="ProductID" w:val="LA CULTURA COMO"/>
        </w:smartTagPr>
        <w:r w:rsidRPr="007E037E">
          <w:rPr>
            <w:rFonts w:asciiTheme="majorHAnsi" w:hAnsiTheme="majorHAnsi" w:cstheme="majorHAnsi"/>
            <w:b/>
          </w:rPr>
          <w:t>LA CULTURA COMO</w:t>
        </w:r>
      </w:smartTag>
      <w:r w:rsidRPr="007E037E">
        <w:rPr>
          <w:rFonts w:asciiTheme="majorHAnsi" w:hAnsiTheme="majorHAnsi" w:cstheme="majorHAnsi"/>
          <w:b/>
        </w:rPr>
        <w:t xml:space="preserve"> FORMACIÓN: IDEALES ILUSTRADOS, ESTÉTICA Y UTILIDAD</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jc w:val="both"/>
        <w:rPr>
          <w:rFonts w:asciiTheme="majorHAnsi" w:hAnsiTheme="majorHAnsi" w:cstheme="majorHAnsi"/>
        </w:rPr>
      </w:pPr>
      <w:r w:rsidRPr="007E037E">
        <w:rPr>
          <w:rFonts w:asciiTheme="majorHAnsi" w:hAnsiTheme="majorHAnsi" w:cstheme="majorHAnsi"/>
        </w:rPr>
        <w:t xml:space="preserve">El lugar de la filosofía de </w:t>
      </w:r>
      <w:smartTag w:uri="urn:schemas-microsoft-com:office:smarttags" w:element="PersonName">
        <w:smartTagPr>
          <w:attr w:name="ProductID" w:val="la Ilustraci￳n"/>
        </w:smartTagPr>
        <w:r w:rsidRPr="007E037E">
          <w:rPr>
            <w:rFonts w:asciiTheme="majorHAnsi" w:hAnsiTheme="majorHAnsi" w:cstheme="majorHAnsi"/>
          </w:rPr>
          <w:t>la Ilustración</w:t>
        </w:r>
      </w:smartTag>
      <w:r w:rsidRPr="007E037E">
        <w:rPr>
          <w:rFonts w:asciiTheme="majorHAnsi" w:hAnsiTheme="majorHAnsi" w:cstheme="majorHAnsi"/>
        </w:rPr>
        <w:t xml:space="preserve"> en la idea europea de cultura. La tensión entre la cultura como </w:t>
      </w:r>
      <w:proofErr w:type="spellStart"/>
      <w:r w:rsidRPr="007E037E">
        <w:rPr>
          <w:rFonts w:asciiTheme="majorHAnsi" w:hAnsiTheme="majorHAnsi" w:cstheme="majorHAnsi"/>
          <w:i/>
        </w:rPr>
        <w:t>Kultur</w:t>
      </w:r>
      <w:proofErr w:type="spellEnd"/>
      <w:r w:rsidRPr="007E037E">
        <w:rPr>
          <w:rFonts w:asciiTheme="majorHAnsi" w:hAnsiTheme="majorHAnsi" w:cstheme="majorHAnsi"/>
        </w:rPr>
        <w:t xml:space="preserve"> (cultura) y como </w:t>
      </w:r>
      <w:proofErr w:type="spellStart"/>
      <w:r w:rsidRPr="007E037E">
        <w:rPr>
          <w:rFonts w:asciiTheme="majorHAnsi" w:hAnsiTheme="majorHAnsi" w:cstheme="majorHAnsi"/>
          <w:i/>
        </w:rPr>
        <w:t>Bildung</w:t>
      </w:r>
      <w:proofErr w:type="spellEnd"/>
      <w:r w:rsidRPr="007E037E">
        <w:rPr>
          <w:rFonts w:asciiTheme="majorHAnsi" w:hAnsiTheme="majorHAnsi" w:cstheme="majorHAnsi"/>
        </w:rPr>
        <w:t xml:space="preserve"> (formación). La polémica sobre el patrocinio estatal de la cultura. La definición de modernidad: ¿etapa de la historia o actitud frente al presente? Primer momento de la crítica de la cultura moderna europea: la filosofía nietzscheana. Segundo momento: la ruptura en el arte operada por las vanguardias de principios del siglo XX. Fin de la estética y comienzo del reino de la utilidad: la escuela </w:t>
      </w:r>
      <w:r w:rsidRPr="007E037E">
        <w:rPr>
          <w:rFonts w:asciiTheme="majorHAnsi" w:hAnsiTheme="majorHAnsi" w:cstheme="majorHAnsi"/>
          <w:i/>
        </w:rPr>
        <w:t>Bauhaus</w:t>
      </w:r>
      <w:r w:rsidRPr="007E037E">
        <w:rPr>
          <w:rFonts w:asciiTheme="majorHAnsi" w:hAnsiTheme="majorHAnsi" w:cstheme="majorHAnsi"/>
        </w:rPr>
        <w:t>. Crisis civilizatoria occidental.</w:t>
      </w:r>
    </w:p>
    <w:p w:rsidR="00C506BE" w:rsidRPr="007E037E" w:rsidRDefault="00C506BE" w:rsidP="00C506BE">
      <w:pPr>
        <w:spacing w:line="240" w:lineRule="auto"/>
        <w:ind w:left="1410" w:hanging="1410"/>
        <w:contextualSpacing/>
        <w:rPr>
          <w:rFonts w:asciiTheme="majorHAnsi" w:hAnsiTheme="majorHAnsi" w:cstheme="majorHAnsi"/>
        </w:rPr>
      </w:pPr>
    </w:p>
    <w:p w:rsidR="00C506BE" w:rsidRPr="007E037E" w:rsidRDefault="00C506BE" w:rsidP="00C506BE">
      <w:pPr>
        <w:spacing w:line="240" w:lineRule="auto"/>
        <w:ind w:left="1410" w:hanging="1410"/>
        <w:contextualSpacing/>
        <w:rPr>
          <w:rFonts w:asciiTheme="majorHAnsi" w:hAnsiTheme="majorHAnsi" w:cstheme="majorHAnsi"/>
          <w:b/>
        </w:rPr>
      </w:pPr>
      <w:r w:rsidRPr="007E037E">
        <w:rPr>
          <w:rFonts w:asciiTheme="majorHAnsi" w:hAnsiTheme="majorHAnsi" w:cstheme="majorHAnsi"/>
          <w:b/>
        </w:rPr>
        <w:t>Bibliografía principal:</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Aguirre, Gonzalo (2009). “La escuela ‘Bauhaus’. De la formación histórica a la in-formación permanente”. En Cynthia </w:t>
      </w:r>
      <w:proofErr w:type="spellStart"/>
      <w:r w:rsidRPr="007E037E">
        <w:rPr>
          <w:rFonts w:asciiTheme="majorHAnsi" w:hAnsiTheme="majorHAnsi" w:cstheme="majorHAnsi"/>
        </w:rPr>
        <w:t>Farina</w:t>
      </w:r>
      <w:proofErr w:type="spellEnd"/>
      <w:r w:rsidRPr="007E037E">
        <w:rPr>
          <w:rFonts w:asciiTheme="majorHAnsi" w:hAnsiTheme="majorHAnsi" w:cstheme="majorHAnsi"/>
        </w:rPr>
        <w:t xml:space="preserve"> y Carla </w:t>
      </w:r>
      <w:proofErr w:type="spellStart"/>
      <w:r w:rsidRPr="007E037E">
        <w:rPr>
          <w:rFonts w:asciiTheme="majorHAnsi" w:hAnsiTheme="majorHAnsi" w:cstheme="majorHAnsi"/>
        </w:rPr>
        <w:t>Rodrigues</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orgs</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i/>
        </w:rPr>
        <w:t>Cartografias</w:t>
      </w:r>
      <w:proofErr w:type="spellEnd"/>
      <w:r w:rsidRPr="007E037E">
        <w:rPr>
          <w:rFonts w:asciiTheme="majorHAnsi" w:hAnsiTheme="majorHAnsi" w:cstheme="majorHAnsi"/>
          <w:i/>
        </w:rPr>
        <w:t xml:space="preserve"> do </w:t>
      </w:r>
      <w:proofErr w:type="spellStart"/>
      <w:r w:rsidRPr="007E037E">
        <w:rPr>
          <w:rFonts w:asciiTheme="majorHAnsi" w:hAnsiTheme="majorHAnsi" w:cstheme="majorHAnsi"/>
          <w:i/>
        </w:rPr>
        <w:t>sensível</w:t>
      </w:r>
      <w:proofErr w:type="spellEnd"/>
      <w:r w:rsidRPr="007E037E">
        <w:rPr>
          <w:rFonts w:asciiTheme="majorHAnsi" w:hAnsiTheme="majorHAnsi" w:cstheme="majorHAnsi"/>
          <w:i/>
        </w:rPr>
        <w:t xml:space="preserve">. Estética e </w:t>
      </w:r>
      <w:proofErr w:type="spellStart"/>
      <w:r w:rsidRPr="007E037E">
        <w:rPr>
          <w:rFonts w:asciiTheme="majorHAnsi" w:hAnsiTheme="majorHAnsi" w:cstheme="majorHAnsi"/>
          <w:i/>
        </w:rPr>
        <w:t>subjetivaçao</w:t>
      </w:r>
      <w:proofErr w:type="spellEnd"/>
      <w:r w:rsidRPr="007E037E">
        <w:rPr>
          <w:rFonts w:asciiTheme="majorHAnsi" w:hAnsiTheme="majorHAnsi" w:cstheme="majorHAnsi"/>
          <w:i/>
        </w:rPr>
        <w:t xml:space="preserve"> </w:t>
      </w:r>
      <w:proofErr w:type="spellStart"/>
      <w:r w:rsidRPr="007E037E">
        <w:rPr>
          <w:rFonts w:asciiTheme="majorHAnsi" w:hAnsiTheme="majorHAnsi" w:cstheme="majorHAnsi"/>
          <w:i/>
        </w:rPr>
        <w:t>na</w:t>
      </w:r>
      <w:proofErr w:type="spellEnd"/>
      <w:r w:rsidRPr="007E037E">
        <w:rPr>
          <w:rFonts w:asciiTheme="majorHAnsi" w:hAnsiTheme="majorHAnsi" w:cstheme="majorHAnsi"/>
          <w:i/>
        </w:rPr>
        <w:t xml:space="preserve"> </w:t>
      </w:r>
      <w:proofErr w:type="spellStart"/>
      <w:r w:rsidRPr="007E037E">
        <w:rPr>
          <w:rFonts w:asciiTheme="majorHAnsi" w:hAnsiTheme="majorHAnsi" w:cstheme="majorHAnsi"/>
          <w:i/>
        </w:rPr>
        <w:t>contemporaneidade</w:t>
      </w:r>
      <w:proofErr w:type="spellEnd"/>
      <w:r w:rsidRPr="007E037E">
        <w:rPr>
          <w:rFonts w:asciiTheme="majorHAnsi" w:hAnsiTheme="majorHAnsi" w:cstheme="majorHAnsi"/>
          <w:i/>
        </w:rPr>
        <w:t>.</w:t>
      </w:r>
      <w:r w:rsidRPr="007E037E">
        <w:rPr>
          <w:rFonts w:asciiTheme="majorHAnsi" w:hAnsiTheme="majorHAnsi" w:cstheme="majorHAnsi"/>
        </w:rPr>
        <w:t xml:space="preserve"> Porto Alegre, </w:t>
      </w:r>
      <w:proofErr w:type="spellStart"/>
      <w:r w:rsidRPr="007E037E">
        <w:rPr>
          <w:rFonts w:asciiTheme="majorHAnsi" w:hAnsiTheme="majorHAnsi" w:cstheme="majorHAnsi"/>
        </w:rPr>
        <w:t>Evangraf</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Bauman</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Zygmunt</w:t>
      </w:r>
      <w:proofErr w:type="spellEnd"/>
      <w:r w:rsidRPr="007E037E">
        <w:rPr>
          <w:rFonts w:asciiTheme="majorHAnsi" w:hAnsiTheme="majorHAnsi" w:cstheme="majorHAnsi"/>
        </w:rPr>
        <w:t xml:space="preserve"> (1997). “El descubrimiento de la cultura”. En </w:t>
      </w:r>
      <w:r w:rsidRPr="007E037E">
        <w:rPr>
          <w:rFonts w:asciiTheme="majorHAnsi" w:hAnsiTheme="majorHAnsi" w:cstheme="majorHAnsi"/>
          <w:i/>
        </w:rPr>
        <w:t>Legisladores e intérpretes. Sobre la modernidad, la posmodernidad y los intelectuales</w:t>
      </w:r>
      <w:r w:rsidRPr="007E037E">
        <w:rPr>
          <w:rFonts w:asciiTheme="majorHAnsi" w:hAnsiTheme="majorHAnsi" w:cstheme="majorHAnsi"/>
        </w:rPr>
        <w:t>. Bernal, Universidad Nacional de Quilmes.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De </w:t>
      </w:r>
      <w:proofErr w:type="spellStart"/>
      <w:r w:rsidRPr="007E037E">
        <w:rPr>
          <w:rFonts w:asciiTheme="majorHAnsi" w:hAnsiTheme="majorHAnsi" w:cstheme="majorHAnsi"/>
        </w:rPr>
        <w:t>Micheli</w:t>
      </w:r>
      <w:proofErr w:type="spellEnd"/>
      <w:r w:rsidRPr="007E037E">
        <w:rPr>
          <w:rFonts w:asciiTheme="majorHAnsi" w:hAnsiTheme="majorHAnsi" w:cstheme="majorHAnsi"/>
        </w:rPr>
        <w:t xml:space="preserve">, Mario (2007). </w:t>
      </w:r>
      <w:r w:rsidRPr="007E037E">
        <w:rPr>
          <w:rFonts w:asciiTheme="majorHAnsi" w:hAnsiTheme="majorHAnsi" w:cstheme="majorHAnsi"/>
          <w:i/>
        </w:rPr>
        <w:t>Las vanguardias artísticas del siglo XX.</w:t>
      </w:r>
      <w:r w:rsidRPr="007E037E">
        <w:rPr>
          <w:rFonts w:asciiTheme="majorHAnsi" w:hAnsiTheme="majorHAnsi" w:cstheme="majorHAnsi"/>
        </w:rPr>
        <w:t xml:space="preserve"> Madrid, Alianza (selección de fragmentos).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Foucault, Michel (1996). “¿Qué es </w:t>
      </w:r>
      <w:smartTag w:uri="urn:schemas-microsoft-com:office:smarttags" w:element="PersonName">
        <w:smartTagPr>
          <w:attr w:name="ProductID" w:val="la Ilustraci￳n"/>
        </w:smartTagPr>
        <w:r w:rsidRPr="007E037E">
          <w:rPr>
            <w:rFonts w:asciiTheme="majorHAnsi" w:hAnsiTheme="majorHAnsi" w:cstheme="majorHAnsi"/>
          </w:rPr>
          <w:t>la Ilustración</w:t>
        </w:r>
      </w:smartTag>
      <w:r w:rsidRPr="007E037E">
        <w:rPr>
          <w:rFonts w:asciiTheme="majorHAnsi" w:hAnsiTheme="majorHAnsi" w:cstheme="majorHAnsi"/>
        </w:rPr>
        <w:t>?” (1983 y 1984). En</w:t>
      </w:r>
      <w:r w:rsidRPr="007E037E">
        <w:rPr>
          <w:rFonts w:asciiTheme="majorHAnsi" w:hAnsiTheme="majorHAnsi" w:cstheme="majorHAnsi"/>
          <w:i/>
        </w:rPr>
        <w:t xml:space="preserve"> ¿Qué es </w:t>
      </w:r>
      <w:smartTag w:uri="urn:schemas-microsoft-com:office:smarttags" w:element="PersonName">
        <w:smartTagPr>
          <w:attr w:name="ProductID" w:val="la Ilustración"/>
        </w:smartTagPr>
        <w:r w:rsidRPr="007E037E">
          <w:rPr>
            <w:rFonts w:asciiTheme="majorHAnsi" w:hAnsiTheme="majorHAnsi" w:cstheme="majorHAnsi"/>
            <w:i/>
          </w:rPr>
          <w:t>la Ilustración</w:t>
        </w:r>
      </w:smartTag>
      <w:proofErr w:type="gramStart"/>
      <w:r w:rsidRPr="007E037E">
        <w:rPr>
          <w:rFonts w:asciiTheme="majorHAnsi" w:hAnsiTheme="majorHAnsi" w:cstheme="majorHAnsi"/>
          <w:i/>
        </w:rPr>
        <w:t>?</w:t>
      </w:r>
      <w:r w:rsidRPr="007E037E">
        <w:rPr>
          <w:rFonts w:asciiTheme="majorHAnsi" w:hAnsiTheme="majorHAnsi" w:cstheme="majorHAnsi"/>
        </w:rPr>
        <w:t>.</w:t>
      </w:r>
      <w:proofErr w:type="gramEnd"/>
      <w:r w:rsidRPr="007E037E">
        <w:rPr>
          <w:rFonts w:asciiTheme="majorHAnsi" w:hAnsiTheme="majorHAnsi" w:cstheme="majorHAnsi"/>
        </w:rPr>
        <w:t xml:space="preserve"> Madrid, Ediciones de </w:t>
      </w:r>
      <w:smartTag w:uri="urn:schemas-microsoft-com:office:smarttags" w:element="PersonName">
        <w:smartTagPr>
          <w:attr w:name="ProductID" w:val="La Piqueta."/>
        </w:smartTagPr>
        <w:r w:rsidRPr="007E037E">
          <w:rPr>
            <w:rFonts w:asciiTheme="majorHAnsi" w:hAnsiTheme="majorHAnsi" w:cstheme="majorHAnsi"/>
          </w:rPr>
          <w:t>La Piqueta.</w:t>
        </w:r>
      </w:smartTag>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Kant, Immanuel. </w:t>
      </w:r>
      <w:r w:rsidRPr="007E037E">
        <w:rPr>
          <w:rFonts w:asciiTheme="majorHAnsi" w:hAnsiTheme="majorHAnsi" w:cstheme="majorHAnsi"/>
          <w:i/>
        </w:rPr>
        <w:t xml:space="preserve">¿Qué es </w:t>
      </w:r>
      <w:smartTag w:uri="urn:schemas-microsoft-com:office:smarttags" w:element="PersonName">
        <w:smartTagPr>
          <w:attr w:name="ProductID" w:val="la Ilustraci￳n"/>
        </w:smartTagPr>
        <w:r w:rsidRPr="007E037E">
          <w:rPr>
            <w:rFonts w:asciiTheme="majorHAnsi" w:hAnsiTheme="majorHAnsi" w:cstheme="majorHAnsi"/>
            <w:i/>
          </w:rPr>
          <w:t>la Ilustración</w:t>
        </w:r>
      </w:smartTag>
      <w:proofErr w:type="gramStart"/>
      <w:r w:rsidRPr="007E037E">
        <w:rPr>
          <w:rFonts w:asciiTheme="majorHAnsi" w:hAnsiTheme="majorHAnsi" w:cstheme="majorHAnsi"/>
          <w:i/>
        </w:rPr>
        <w:t>?.</w:t>
      </w:r>
      <w:proofErr w:type="gramEnd"/>
      <w:r w:rsidRPr="007E037E">
        <w:rPr>
          <w:rFonts w:asciiTheme="majorHAnsi" w:hAnsiTheme="majorHAnsi" w:cstheme="majorHAnsi"/>
        </w:rPr>
        <w:t xml:space="preserve"> Varias ediciones. En Internet:</w:t>
      </w:r>
    </w:p>
    <w:p w:rsidR="00C506BE" w:rsidRPr="007E037E" w:rsidRDefault="00236DE2" w:rsidP="00C506BE">
      <w:pPr>
        <w:spacing w:line="240" w:lineRule="auto"/>
        <w:contextualSpacing/>
        <w:rPr>
          <w:rFonts w:asciiTheme="majorHAnsi" w:hAnsiTheme="majorHAnsi" w:cstheme="majorHAnsi"/>
          <w:lang w:val="fr-FR"/>
        </w:rPr>
      </w:pPr>
      <w:hyperlink r:id="rId9" w:history="1">
        <w:r w:rsidR="00C506BE" w:rsidRPr="007E037E">
          <w:rPr>
            <w:rStyle w:val="Hipervnculo"/>
            <w:rFonts w:asciiTheme="majorHAnsi" w:hAnsiTheme="majorHAnsi" w:cstheme="majorHAnsi"/>
          </w:rPr>
          <w:t>http://www.catedras.fsoc.uba.ar/mari/Archivos/HTML/KANT_ilustracion.htm</w:t>
        </w:r>
      </w:hyperlink>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Nietzsche, Friedrich (2003). “De la utilidad y los inconvenientes de la historia para la vida”. En </w:t>
      </w:r>
      <w:r w:rsidRPr="007E037E">
        <w:rPr>
          <w:rFonts w:asciiTheme="majorHAnsi" w:hAnsiTheme="majorHAnsi" w:cstheme="majorHAnsi"/>
          <w:i/>
        </w:rPr>
        <w:t>Antología</w:t>
      </w:r>
      <w:r w:rsidRPr="007E037E">
        <w:rPr>
          <w:rFonts w:asciiTheme="majorHAnsi" w:hAnsiTheme="majorHAnsi" w:cstheme="majorHAnsi"/>
        </w:rPr>
        <w:t xml:space="preserve">, Barcelona, Península, 2003. En Internet: </w:t>
      </w:r>
      <w:hyperlink r:id="rId10" w:history="1">
        <w:r w:rsidRPr="007E037E">
          <w:rPr>
            <w:rStyle w:val="Hipervnculo"/>
            <w:rFonts w:asciiTheme="majorHAnsi" w:hAnsiTheme="majorHAnsi" w:cstheme="majorHAnsi"/>
          </w:rPr>
          <w:t>http://www.nietzscheana.com.ar/referencias/sobre_la_utilidad.htm</w:t>
        </w:r>
      </w:hyperlink>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Nietzsche, Friedrich (1998). </w:t>
      </w:r>
      <w:r w:rsidRPr="007E037E">
        <w:rPr>
          <w:rFonts w:asciiTheme="majorHAnsi" w:hAnsiTheme="majorHAnsi" w:cstheme="majorHAnsi"/>
          <w:i/>
        </w:rPr>
        <w:t xml:space="preserve">Sobre verdad y mentira en sentido </w:t>
      </w:r>
      <w:proofErr w:type="spellStart"/>
      <w:r w:rsidRPr="007E037E">
        <w:rPr>
          <w:rFonts w:asciiTheme="majorHAnsi" w:hAnsiTheme="majorHAnsi" w:cstheme="majorHAnsi"/>
          <w:i/>
        </w:rPr>
        <w:t>extramoral</w:t>
      </w:r>
      <w:proofErr w:type="spellEnd"/>
      <w:r w:rsidRPr="007E037E">
        <w:rPr>
          <w:rFonts w:asciiTheme="majorHAnsi" w:hAnsiTheme="majorHAnsi" w:cstheme="majorHAnsi"/>
        </w:rPr>
        <w:t xml:space="preserve">. Madrid, </w:t>
      </w:r>
      <w:proofErr w:type="spellStart"/>
      <w:r w:rsidRPr="007E037E">
        <w:rPr>
          <w:rFonts w:asciiTheme="majorHAnsi" w:hAnsiTheme="majorHAnsi" w:cstheme="majorHAnsi"/>
        </w:rPr>
        <w:t>Tecnos</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En Internet:</w:t>
      </w:r>
    </w:p>
    <w:p w:rsidR="00C506BE" w:rsidRPr="007E037E" w:rsidRDefault="00236DE2" w:rsidP="00C506BE">
      <w:pPr>
        <w:spacing w:line="240" w:lineRule="auto"/>
        <w:contextualSpacing/>
        <w:rPr>
          <w:rFonts w:asciiTheme="majorHAnsi" w:hAnsiTheme="majorHAnsi" w:cstheme="majorHAnsi"/>
        </w:rPr>
      </w:pPr>
      <w:hyperlink r:id="rId11" w:history="1">
        <w:r w:rsidR="00C506BE" w:rsidRPr="007E037E">
          <w:rPr>
            <w:rStyle w:val="Hipervnculo"/>
            <w:rFonts w:asciiTheme="majorHAnsi" w:hAnsiTheme="majorHAnsi" w:cstheme="majorHAnsi"/>
          </w:rPr>
          <w:t>http://www.nietzscheana.com.ar/textos/sobre_verdad_y_mentita_en_sentido_extramoral.htm</w:t>
        </w:r>
      </w:hyperlink>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lastRenderedPageBreak/>
        <w:t>Paponi</w:t>
      </w:r>
      <w:proofErr w:type="spellEnd"/>
      <w:r w:rsidRPr="007E037E">
        <w:rPr>
          <w:rFonts w:asciiTheme="majorHAnsi" w:hAnsiTheme="majorHAnsi" w:cstheme="majorHAnsi"/>
        </w:rPr>
        <w:t xml:space="preserve">, María Susana (2008). “Filosofía de la cultura. </w:t>
      </w:r>
      <w:proofErr w:type="spellStart"/>
      <w:r w:rsidRPr="007E037E">
        <w:rPr>
          <w:rFonts w:asciiTheme="majorHAnsi" w:hAnsiTheme="majorHAnsi" w:cstheme="majorHAnsi"/>
        </w:rPr>
        <w:t>Resignificaciones</w:t>
      </w:r>
      <w:proofErr w:type="spellEnd"/>
      <w:r w:rsidRPr="007E037E">
        <w:rPr>
          <w:rFonts w:asciiTheme="majorHAnsi" w:hAnsiTheme="majorHAnsi" w:cstheme="majorHAnsi"/>
        </w:rPr>
        <w:t xml:space="preserve"> de la subjetividad”. En </w:t>
      </w:r>
      <w:proofErr w:type="spellStart"/>
      <w:r w:rsidRPr="007E037E">
        <w:rPr>
          <w:rFonts w:asciiTheme="majorHAnsi" w:hAnsiTheme="majorHAnsi" w:cstheme="majorHAnsi"/>
        </w:rPr>
        <w:t>Aimino</w:t>
      </w:r>
      <w:proofErr w:type="spellEnd"/>
      <w:r w:rsidRPr="007E037E">
        <w:rPr>
          <w:rFonts w:asciiTheme="majorHAnsi" w:hAnsiTheme="majorHAnsi" w:cstheme="majorHAnsi"/>
        </w:rPr>
        <w:t xml:space="preserve">, Dante (coord.). </w:t>
      </w:r>
      <w:r w:rsidRPr="007E037E">
        <w:rPr>
          <w:rFonts w:asciiTheme="majorHAnsi" w:hAnsiTheme="majorHAnsi" w:cstheme="majorHAnsi"/>
          <w:i/>
        </w:rPr>
        <w:t>Lo humano en entredicho. Ensayos de filosofía de la cultura</w:t>
      </w:r>
      <w:r w:rsidRPr="007E037E">
        <w:rPr>
          <w:rFonts w:asciiTheme="majorHAnsi" w:hAnsiTheme="majorHAnsi" w:cstheme="majorHAnsi"/>
        </w:rPr>
        <w:t xml:space="preserve">. General Roca, </w:t>
      </w:r>
      <w:proofErr w:type="spellStart"/>
      <w:r w:rsidRPr="007E037E">
        <w:rPr>
          <w:rFonts w:asciiTheme="majorHAnsi" w:hAnsiTheme="majorHAnsi" w:cstheme="majorHAnsi"/>
        </w:rPr>
        <w:t>Publifadecs</w:t>
      </w:r>
      <w:proofErr w:type="spellEnd"/>
      <w:r w:rsidRPr="007E037E">
        <w:rPr>
          <w:rFonts w:asciiTheme="majorHAnsi" w:hAnsiTheme="majorHAnsi" w:cstheme="majorHAnsi"/>
        </w:rPr>
        <w:t xml:space="preserve"> (Universidad Nacional del </w:t>
      </w:r>
      <w:proofErr w:type="spellStart"/>
      <w:r w:rsidRPr="007E037E">
        <w:rPr>
          <w:rFonts w:asciiTheme="majorHAnsi" w:hAnsiTheme="majorHAnsi" w:cstheme="majorHAnsi"/>
        </w:rPr>
        <w:t>Comahue</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Bibliografía complementaria:</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Cassirer</w:t>
      </w:r>
      <w:proofErr w:type="spellEnd"/>
      <w:r w:rsidRPr="007E037E">
        <w:rPr>
          <w:rFonts w:asciiTheme="majorHAnsi" w:hAnsiTheme="majorHAnsi" w:cstheme="majorHAnsi"/>
        </w:rPr>
        <w:t xml:space="preserve">, Ernst (1967). </w:t>
      </w:r>
      <w:r w:rsidRPr="007E037E">
        <w:rPr>
          <w:rFonts w:asciiTheme="majorHAnsi" w:hAnsiTheme="majorHAnsi" w:cstheme="majorHAnsi"/>
          <w:i/>
        </w:rPr>
        <w:t>Antropología filosófica. Una filosofía de la cultura</w:t>
      </w:r>
      <w:r w:rsidRPr="007E037E">
        <w:rPr>
          <w:rFonts w:asciiTheme="majorHAnsi" w:hAnsiTheme="majorHAnsi" w:cstheme="majorHAnsi"/>
        </w:rPr>
        <w:t>. México, Fondo de Cultura Económica.</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Freud, Sigmund (1990). “El malestar en la cultura”. En </w:t>
      </w:r>
      <w:r w:rsidRPr="007E037E">
        <w:rPr>
          <w:rFonts w:asciiTheme="majorHAnsi" w:hAnsiTheme="majorHAnsi" w:cstheme="majorHAnsi"/>
          <w:i/>
        </w:rPr>
        <w:t>Obras completas</w:t>
      </w:r>
      <w:r w:rsidRPr="007E037E">
        <w:rPr>
          <w:rFonts w:asciiTheme="majorHAnsi" w:hAnsiTheme="majorHAnsi" w:cstheme="majorHAnsi"/>
        </w:rPr>
        <w:t xml:space="preserve">, Tomo XXI. Buenos Aires, </w:t>
      </w:r>
      <w:proofErr w:type="spellStart"/>
      <w:r w:rsidRPr="007E037E">
        <w:rPr>
          <w:rFonts w:asciiTheme="majorHAnsi" w:hAnsiTheme="majorHAnsi" w:cstheme="majorHAnsi"/>
        </w:rPr>
        <w:t>Amorrortu</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lang w:val="en-US"/>
        </w:rPr>
      </w:pPr>
      <w:r w:rsidRPr="007E037E">
        <w:rPr>
          <w:rFonts w:asciiTheme="majorHAnsi" w:hAnsiTheme="majorHAnsi" w:cstheme="majorHAnsi"/>
        </w:rPr>
        <w:t xml:space="preserve">Husserl, Edmund (2008). </w:t>
      </w:r>
      <w:r w:rsidRPr="007E037E">
        <w:rPr>
          <w:rFonts w:asciiTheme="majorHAnsi" w:hAnsiTheme="majorHAnsi" w:cstheme="majorHAnsi"/>
          <w:i/>
        </w:rPr>
        <w:t>La crisis de las ciencias europeas y la fenomenología trascendental</w:t>
      </w:r>
      <w:r w:rsidRPr="007E037E">
        <w:rPr>
          <w:rFonts w:asciiTheme="majorHAnsi" w:hAnsiTheme="majorHAnsi" w:cstheme="majorHAnsi"/>
        </w:rPr>
        <w:t xml:space="preserve">. </w:t>
      </w:r>
      <w:r w:rsidRPr="007E037E">
        <w:rPr>
          <w:rFonts w:asciiTheme="majorHAnsi" w:hAnsiTheme="majorHAnsi" w:cstheme="majorHAnsi"/>
          <w:lang w:val="en-US"/>
        </w:rPr>
        <w:t xml:space="preserve">Buenos Aires, </w:t>
      </w:r>
      <w:proofErr w:type="spellStart"/>
      <w:r w:rsidRPr="007E037E">
        <w:rPr>
          <w:rFonts w:asciiTheme="majorHAnsi" w:hAnsiTheme="majorHAnsi" w:cstheme="majorHAnsi"/>
          <w:lang w:val="en-US"/>
        </w:rPr>
        <w:t>Prometeo</w:t>
      </w:r>
      <w:proofErr w:type="spellEnd"/>
      <w:r w:rsidRPr="007E037E">
        <w:rPr>
          <w:rFonts w:asciiTheme="majorHAnsi" w:hAnsiTheme="majorHAnsi" w:cstheme="majorHAnsi"/>
          <w:lang w:val="en-US"/>
        </w:rPr>
        <w:t>.</w:t>
      </w:r>
    </w:p>
    <w:p w:rsidR="00C506BE" w:rsidRPr="007E037E" w:rsidRDefault="00C506BE" w:rsidP="00C506BE">
      <w:pPr>
        <w:spacing w:line="240" w:lineRule="auto"/>
        <w:contextualSpacing/>
        <w:rPr>
          <w:rFonts w:asciiTheme="majorHAnsi" w:hAnsiTheme="majorHAnsi" w:cstheme="majorHAnsi"/>
          <w:lang w:val="en-US"/>
        </w:rPr>
      </w:pPr>
      <w:r w:rsidRPr="007E037E">
        <w:rPr>
          <w:rFonts w:asciiTheme="majorHAnsi" w:hAnsiTheme="majorHAnsi" w:cstheme="majorHAnsi"/>
          <w:lang w:val="en-US"/>
        </w:rPr>
        <w:t xml:space="preserve">Kittler, Friedrich (1990). </w:t>
      </w:r>
      <w:r w:rsidRPr="007E037E">
        <w:rPr>
          <w:rFonts w:asciiTheme="majorHAnsi" w:hAnsiTheme="majorHAnsi" w:cstheme="majorHAnsi"/>
          <w:i/>
          <w:lang w:val="en-US"/>
        </w:rPr>
        <w:t>Discourse networks 1800/1900</w:t>
      </w:r>
      <w:r w:rsidRPr="007E037E">
        <w:rPr>
          <w:rFonts w:asciiTheme="majorHAnsi" w:hAnsiTheme="majorHAnsi" w:cstheme="majorHAnsi"/>
          <w:lang w:val="en-US"/>
        </w:rPr>
        <w:t>. Stanford, Stanford University Press.</w:t>
      </w:r>
    </w:p>
    <w:p w:rsidR="00C506BE" w:rsidRPr="007E037E" w:rsidRDefault="00C506BE" w:rsidP="00C506BE">
      <w:pPr>
        <w:spacing w:line="240" w:lineRule="auto"/>
        <w:contextualSpacing/>
        <w:rPr>
          <w:rFonts w:asciiTheme="majorHAnsi" w:hAnsiTheme="majorHAnsi" w:cstheme="majorHAnsi"/>
          <w:lang w:val="en-US"/>
        </w:rPr>
      </w:pPr>
    </w:p>
    <w:p w:rsidR="00C506BE" w:rsidRPr="007E037E" w:rsidRDefault="00C506BE" w:rsidP="00C506BE">
      <w:pPr>
        <w:spacing w:line="240" w:lineRule="auto"/>
        <w:contextualSpacing/>
        <w:rPr>
          <w:rFonts w:asciiTheme="majorHAnsi" w:hAnsiTheme="majorHAnsi" w:cstheme="majorHAnsi"/>
          <w:lang w:val="en-US"/>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UNIDAD 2: LA MATERIALIDAD DE LA CULTURA: MARXISMO, CIENCIA Y TÉCNICA</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jc w:val="both"/>
        <w:rPr>
          <w:rFonts w:asciiTheme="majorHAnsi" w:hAnsiTheme="majorHAnsi" w:cstheme="majorHAnsi"/>
        </w:rPr>
      </w:pPr>
      <w:r w:rsidRPr="007E037E">
        <w:rPr>
          <w:rFonts w:asciiTheme="majorHAnsi" w:hAnsiTheme="majorHAnsi" w:cstheme="majorHAnsi"/>
        </w:rPr>
        <w:t xml:space="preserve">Tercer momento de la crítica de la cultura moderna europea: los herederos de Marx. </w:t>
      </w:r>
      <w:smartTag w:uri="urn:schemas-microsoft-com:office:smarttags" w:element="PersonName">
        <w:smartTagPr>
          <w:attr w:name="ProductID" w:val="La Teor￭a Cr￭tica"/>
        </w:smartTagPr>
        <w:r w:rsidRPr="007E037E">
          <w:rPr>
            <w:rFonts w:asciiTheme="majorHAnsi" w:hAnsiTheme="majorHAnsi" w:cstheme="majorHAnsi"/>
          </w:rPr>
          <w:t>La Teoría Crítica</w:t>
        </w:r>
      </w:smartTag>
      <w:r w:rsidRPr="007E037E">
        <w:rPr>
          <w:rFonts w:asciiTheme="majorHAnsi" w:hAnsiTheme="majorHAnsi" w:cstheme="majorHAnsi"/>
        </w:rPr>
        <w:t xml:space="preserve"> (Escuela de Frankfurt) y los estudios culturales (Escuela de Birmingham) en el marco de la definición de la materialidad de la cultura. Fin de la idea de cultura como </w:t>
      </w:r>
      <w:proofErr w:type="spellStart"/>
      <w:r w:rsidRPr="007E037E">
        <w:rPr>
          <w:rFonts w:asciiTheme="majorHAnsi" w:hAnsiTheme="majorHAnsi" w:cstheme="majorHAnsi"/>
          <w:i/>
        </w:rPr>
        <w:t>Kultur</w:t>
      </w:r>
      <w:proofErr w:type="spellEnd"/>
      <w:r w:rsidRPr="007E037E">
        <w:rPr>
          <w:rFonts w:asciiTheme="majorHAnsi" w:hAnsiTheme="majorHAnsi" w:cstheme="majorHAnsi"/>
        </w:rPr>
        <w:t xml:space="preserve">. El ascenso de la ciencia y la técnica modernas como estructuradoras de un campo cultural en ciernes. El caso de la “industria cultural”. Revisión y crítica de la contraposición entre ciencia, técnica y cultura. </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ind w:left="1410" w:hanging="1410"/>
        <w:contextualSpacing/>
        <w:rPr>
          <w:rFonts w:asciiTheme="majorHAnsi" w:hAnsiTheme="majorHAnsi" w:cstheme="majorHAnsi"/>
          <w:b/>
        </w:rPr>
      </w:pPr>
      <w:r w:rsidRPr="007E037E">
        <w:rPr>
          <w:rFonts w:asciiTheme="majorHAnsi" w:hAnsiTheme="majorHAnsi" w:cstheme="majorHAnsi"/>
          <w:b/>
        </w:rPr>
        <w:t>Bibliografía principal:</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Adorno, Theodor (1983). </w:t>
      </w:r>
      <w:r w:rsidRPr="007E037E">
        <w:rPr>
          <w:rFonts w:asciiTheme="majorHAnsi" w:hAnsiTheme="majorHAnsi" w:cstheme="majorHAnsi"/>
          <w:i/>
        </w:rPr>
        <w:t>Teoría estética</w:t>
      </w:r>
      <w:r w:rsidRPr="007E037E">
        <w:rPr>
          <w:rFonts w:asciiTheme="majorHAnsi" w:hAnsiTheme="majorHAnsi" w:cstheme="majorHAnsi"/>
        </w:rPr>
        <w:t xml:space="preserve">. Barcelona, </w:t>
      </w:r>
      <w:proofErr w:type="spellStart"/>
      <w:r w:rsidRPr="007E037E">
        <w:rPr>
          <w:rFonts w:asciiTheme="majorHAnsi" w:hAnsiTheme="majorHAnsi" w:cstheme="majorHAnsi"/>
        </w:rPr>
        <w:t>Orbis</w:t>
      </w:r>
      <w:proofErr w:type="spellEnd"/>
      <w:r w:rsidRPr="007E037E">
        <w:rPr>
          <w:rFonts w:asciiTheme="majorHAnsi" w:hAnsiTheme="majorHAnsi" w:cstheme="majorHAnsi"/>
        </w:rPr>
        <w:t xml:space="preserve"> (selección de fragmentos).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Hall, Stuart (1994). “Estudios culturales: dos paradigmas”. En revista </w:t>
      </w:r>
      <w:r w:rsidRPr="007E037E">
        <w:rPr>
          <w:rFonts w:asciiTheme="majorHAnsi" w:hAnsiTheme="majorHAnsi" w:cstheme="majorHAnsi"/>
          <w:i/>
        </w:rPr>
        <w:t>Causas y azares</w:t>
      </w:r>
      <w:r w:rsidRPr="007E037E">
        <w:rPr>
          <w:rFonts w:asciiTheme="majorHAnsi" w:hAnsiTheme="majorHAnsi" w:cstheme="majorHAnsi"/>
        </w:rPr>
        <w:t xml:space="preserve">, Nro. 1. Edición independiente. </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Heidegger, Martin (1996). “Lenguaje de tradición y lenguaje técnico”. En revista </w:t>
      </w:r>
      <w:r w:rsidRPr="007E037E">
        <w:rPr>
          <w:rFonts w:asciiTheme="majorHAnsi" w:hAnsiTheme="majorHAnsi" w:cstheme="majorHAnsi"/>
          <w:i/>
        </w:rPr>
        <w:t>Artefacto. Pensamientos sobre la técnica</w:t>
      </w:r>
      <w:r w:rsidRPr="007E037E">
        <w:rPr>
          <w:rFonts w:asciiTheme="majorHAnsi" w:hAnsiTheme="majorHAnsi" w:cstheme="majorHAnsi"/>
        </w:rPr>
        <w:t>, Nro.1. Buenos Aires, edición independiente. En Internet:</w:t>
      </w:r>
    </w:p>
    <w:p w:rsidR="00C506BE" w:rsidRPr="007E037E" w:rsidRDefault="00236DE2" w:rsidP="00C506BE">
      <w:pPr>
        <w:spacing w:line="240" w:lineRule="auto"/>
        <w:contextualSpacing/>
        <w:rPr>
          <w:rFonts w:asciiTheme="majorHAnsi" w:hAnsiTheme="majorHAnsi" w:cstheme="majorHAnsi"/>
        </w:rPr>
      </w:pPr>
      <w:hyperlink r:id="rId12" w:history="1">
        <w:r w:rsidR="00C506BE" w:rsidRPr="007E037E">
          <w:rPr>
            <w:rStyle w:val="Hipervnculo"/>
            <w:rFonts w:asciiTheme="majorHAnsi" w:hAnsiTheme="majorHAnsi" w:cstheme="majorHAnsi"/>
            <w:lang w:val="es-ES"/>
          </w:rPr>
          <w:t>http://www.heideggeriana.com.ar/textos/tecnico_tradicional.htm</w:t>
        </w:r>
      </w:hyperlink>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Marcuse, Herbert (2011). </w:t>
      </w:r>
      <w:r w:rsidRPr="007E037E">
        <w:rPr>
          <w:rFonts w:asciiTheme="majorHAnsi" w:hAnsiTheme="majorHAnsi" w:cstheme="majorHAnsi"/>
          <w:i/>
        </w:rPr>
        <w:t>El carácter afirmativo de la cultura</w:t>
      </w:r>
      <w:r w:rsidRPr="007E037E">
        <w:rPr>
          <w:rFonts w:asciiTheme="majorHAnsi" w:hAnsiTheme="majorHAnsi" w:cstheme="majorHAnsi"/>
        </w:rPr>
        <w:t>. Buenos Aires, El Cuenco de Plata. “Apostilla” por Claudia Kozak.</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Simondon</w:t>
      </w:r>
      <w:proofErr w:type="spellEnd"/>
      <w:r w:rsidRPr="007E037E">
        <w:rPr>
          <w:rFonts w:asciiTheme="majorHAnsi" w:hAnsiTheme="majorHAnsi" w:cstheme="majorHAnsi"/>
        </w:rPr>
        <w:t xml:space="preserve">, Gilbert (2008). “Introducción” y “Función reguladora de la cultura en la relación entre el hombre y el mundo de los objetos técnicos. Problemas actuales”. En </w:t>
      </w:r>
      <w:r w:rsidRPr="007E037E">
        <w:rPr>
          <w:rFonts w:asciiTheme="majorHAnsi" w:hAnsiTheme="majorHAnsi" w:cstheme="majorHAnsi"/>
          <w:i/>
        </w:rPr>
        <w:t>El modo de existencia de los objetos técnicos</w:t>
      </w:r>
      <w:r w:rsidRPr="007E037E">
        <w:rPr>
          <w:rFonts w:asciiTheme="majorHAnsi" w:hAnsiTheme="majorHAnsi" w:cstheme="majorHAnsi"/>
        </w:rPr>
        <w:t>. Buenos Aires, Prometeo.</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Williams, Raymond (2011). “Cultura”. En </w:t>
      </w:r>
      <w:r w:rsidRPr="007E037E">
        <w:rPr>
          <w:rFonts w:asciiTheme="majorHAnsi" w:hAnsiTheme="majorHAnsi" w:cstheme="majorHAnsi"/>
          <w:i/>
        </w:rPr>
        <w:t>Marxismo y literatura</w:t>
      </w:r>
      <w:r w:rsidRPr="007E037E">
        <w:rPr>
          <w:rFonts w:asciiTheme="majorHAnsi" w:hAnsiTheme="majorHAnsi" w:cstheme="majorHAnsi"/>
        </w:rPr>
        <w:t>. Buenos Aires, Las Cuarenta (selección de fragmentos).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Williams, Raymond (1981). “Tecnologías de la comunicación e instituciones sociales”. En </w:t>
      </w:r>
      <w:r w:rsidRPr="007E037E">
        <w:rPr>
          <w:rFonts w:asciiTheme="majorHAnsi" w:hAnsiTheme="majorHAnsi" w:cstheme="majorHAnsi"/>
          <w:i/>
          <w:iCs/>
        </w:rPr>
        <w:t>Historia de la comunicación,</w:t>
      </w:r>
      <w:r w:rsidRPr="007E037E">
        <w:rPr>
          <w:rFonts w:asciiTheme="majorHAnsi" w:hAnsiTheme="majorHAnsi" w:cstheme="majorHAnsi"/>
        </w:rPr>
        <w:t xml:space="preserve"> Vol. 2.: </w:t>
      </w:r>
      <w:r w:rsidRPr="007E037E">
        <w:rPr>
          <w:rFonts w:asciiTheme="majorHAnsi" w:hAnsiTheme="majorHAnsi" w:cstheme="majorHAnsi"/>
          <w:i/>
          <w:iCs/>
        </w:rPr>
        <w:t xml:space="preserve">De la imprenta hasta nuestros días. </w:t>
      </w:r>
      <w:r w:rsidRPr="007E037E">
        <w:rPr>
          <w:rFonts w:asciiTheme="majorHAnsi" w:hAnsiTheme="majorHAnsi" w:cstheme="majorHAnsi"/>
          <w:iCs/>
        </w:rPr>
        <w:t>Barcelona, Bosch.</w:t>
      </w:r>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Bibliografía complementaria:</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Adorno, Theodor y </w:t>
      </w:r>
      <w:proofErr w:type="spellStart"/>
      <w:r w:rsidRPr="007E037E">
        <w:rPr>
          <w:rFonts w:asciiTheme="majorHAnsi" w:hAnsiTheme="majorHAnsi" w:cstheme="majorHAnsi"/>
        </w:rPr>
        <w:t>Horkheimer</w:t>
      </w:r>
      <w:proofErr w:type="spellEnd"/>
      <w:r w:rsidRPr="007E037E">
        <w:rPr>
          <w:rFonts w:asciiTheme="majorHAnsi" w:hAnsiTheme="majorHAnsi" w:cstheme="majorHAnsi"/>
        </w:rPr>
        <w:t xml:space="preserve">, Max (1969). </w:t>
      </w:r>
      <w:r w:rsidRPr="007E037E">
        <w:rPr>
          <w:rFonts w:asciiTheme="majorHAnsi" w:hAnsiTheme="majorHAnsi" w:cstheme="majorHAnsi"/>
          <w:i/>
        </w:rPr>
        <w:t>Dialéctica del iluminismo</w:t>
      </w:r>
      <w:r w:rsidRPr="007E037E">
        <w:rPr>
          <w:rFonts w:asciiTheme="majorHAnsi" w:hAnsiTheme="majorHAnsi" w:cstheme="majorHAnsi"/>
        </w:rPr>
        <w:t xml:space="preserve">. Buenos Aires, </w:t>
      </w:r>
      <w:proofErr w:type="gramStart"/>
      <w:r w:rsidRPr="007E037E">
        <w:rPr>
          <w:rFonts w:asciiTheme="majorHAnsi" w:hAnsiTheme="majorHAnsi" w:cstheme="majorHAnsi"/>
        </w:rPr>
        <w:t>Sudamericana</w:t>
      </w:r>
      <w:proofErr w:type="gramEnd"/>
      <w:r w:rsidRPr="007E037E">
        <w:rPr>
          <w:rFonts w:asciiTheme="majorHAnsi" w:hAnsiTheme="majorHAnsi" w:cstheme="majorHAnsi"/>
        </w:rPr>
        <w:t xml:space="preserve">. </w:t>
      </w:r>
      <w:proofErr w:type="spellStart"/>
      <w:r w:rsidRPr="007E037E">
        <w:rPr>
          <w:rFonts w:asciiTheme="majorHAnsi" w:hAnsiTheme="majorHAnsi" w:cstheme="majorHAnsi"/>
        </w:rPr>
        <w:t>Nay</w:t>
      </w:r>
      <w:proofErr w:type="spellEnd"/>
      <w:r w:rsidRPr="007E037E">
        <w:rPr>
          <w:rFonts w:asciiTheme="majorHAnsi" w:hAnsiTheme="majorHAnsi" w:cstheme="majorHAnsi"/>
        </w:rPr>
        <w:t xml:space="preserve"> varias ediciones.</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Benjamin</w:t>
      </w:r>
      <w:proofErr w:type="spellEnd"/>
      <w:r w:rsidRPr="007E037E">
        <w:rPr>
          <w:rFonts w:asciiTheme="majorHAnsi" w:hAnsiTheme="majorHAnsi" w:cstheme="majorHAnsi"/>
        </w:rPr>
        <w:t>, Walter (2009). “La obra de arte en la época de su reproductibilidad técnica”. En Estética y política. Buenos Aires, Las Cuarenta. Hay varias ediciones. En Internet:</w:t>
      </w:r>
    </w:p>
    <w:p w:rsidR="00C506BE" w:rsidRPr="007E037E" w:rsidRDefault="00236DE2" w:rsidP="00C506BE">
      <w:pPr>
        <w:spacing w:line="240" w:lineRule="auto"/>
        <w:contextualSpacing/>
        <w:rPr>
          <w:rFonts w:asciiTheme="majorHAnsi" w:hAnsiTheme="majorHAnsi" w:cstheme="majorHAnsi"/>
        </w:rPr>
      </w:pPr>
      <w:hyperlink r:id="rId13" w:history="1">
        <w:r w:rsidR="00C506BE" w:rsidRPr="007E037E">
          <w:rPr>
            <w:rStyle w:val="Hipervnculo"/>
            <w:rFonts w:asciiTheme="majorHAnsi" w:hAnsiTheme="majorHAnsi" w:cstheme="majorHAnsi"/>
          </w:rPr>
          <w:t>http://www.jacquesderrida.com.ar/restos/benjamin_arte.htm</w:t>
        </w:r>
      </w:hyperlink>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Costa, Flavia (2011). “Apuntes sobre las ‘formas de vida tecnológicas’”. En revista </w:t>
      </w:r>
      <w:r w:rsidRPr="007E037E">
        <w:rPr>
          <w:rFonts w:asciiTheme="majorHAnsi" w:hAnsiTheme="majorHAnsi" w:cstheme="majorHAnsi"/>
          <w:i/>
        </w:rPr>
        <w:t>Sociedad</w:t>
      </w:r>
      <w:r w:rsidRPr="007E037E">
        <w:rPr>
          <w:rFonts w:asciiTheme="majorHAnsi" w:hAnsiTheme="majorHAnsi" w:cstheme="majorHAnsi"/>
        </w:rPr>
        <w:t xml:space="preserve"> Nro. 29/30. Buenos Aires, Prometeo/UBA Sociales Publicaciones.</w:t>
      </w:r>
    </w:p>
    <w:p w:rsidR="00C506BE" w:rsidRPr="007E037E" w:rsidRDefault="00C506BE" w:rsidP="00C506BE">
      <w:pPr>
        <w:spacing w:line="240" w:lineRule="auto"/>
        <w:contextualSpacing/>
        <w:rPr>
          <w:rFonts w:asciiTheme="majorHAnsi" w:hAnsiTheme="majorHAnsi" w:cstheme="majorHAnsi"/>
          <w:lang w:val="en-US"/>
        </w:rPr>
      </w:pPr>
      <w:proofErr w:type="spellStart"/>
      <w:r w:rsidRPr="007E037E">
        <w:rPr>
          <w:rFonts w:asciiTheme="majorHAnsi" w:hAnsiTheme="majorHAnsi" w:cstheme="majorHAnsi"/>
          <w:lang w:val="en-US"/>
        </w:rPr>
        <w:lastRenderedPageBreak/>
        <w:t>Feenberg</w:t>
      </w:r>
      <w:proofErr w:type="spellEnd"/>
      <w:r w:rsidRPr="007E037E">
        <w:rPr>
          <w:rFonts w:asciiTheme="majorHAnsi" w:hAnsiTheme="majorHAnsi" w:cstheme="majorHAnsi"/>
          <w:lang w:val="en-US"/>
        </w:rPr>
        <w:t xml:space="preserve">, Andrew (1991). </w:t>
      </w:r>
      <w:proofErr w:type="gramStart"/>
      <w:r w:rsidRPr="007E037E">
        <w:rPr>
          <w:rFonts w:asciiTheme="majorHAnsi" w:hAnsiTheme="majorHAnsi" w:cstheme="majorHAnsi"/>
          <w:i/>
          <w:lang w:val="en-US"/>
        </w:rPr>
        <w:t>Critical Theory of Technology</w:t>
      </w:r>
      <w:r w:rsidRPr="007E037E">
        <w:rPr>
          <w:rFonts w:asciiTheme="majorHAnsi" w:hAnsiTheme="majorHAnsi" w:cstheme="majorHAnsi"/>
          <w:lang w:val="en-US"/>
        </w:rPr>
        <w:t>.</w:t>
      </w:r>
      <w:proofErr w:type="gramEnd"/>
      <w:r w:rsidRPr="007E037E">
        <w:rPr>
          <w:rFonts w:asciiTheme="majorHAnsi" w:hAnsiTheme="majorHAnsi" w:cstheme="majorHAnsi"/>
          <w:lang w:val="en-US"/>
        </w:rPr>
        <w:t xml:space="preserve"> New York, Oxford University Press.</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Habermas</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Jürgen</w:t>
      </w:r>
      <w:proofErr w:type="spellEnd"/>
      <w:r w:rsidRPr="007E037E">
        <w:rPr>
          <w:rFonts w:asciiTheme="majorHAnsi" w:hAnsiTheme="majorHAnsi" w:cstheme="majorHAnsi"/>
        </w:rPr>
        <w:t xml:space="preserve"> (1986). </w:t>
      </w:r>
      <w:r w:rsidRPr="007E037E">
        <w:rPr>
          <w:rFonts w:asciiTheme="majorHAnsi" w:hAnsiTheme="majorHAnsi" w:cstheme="majorHAnsi"/>
          <w:i/>
        </w:rPr>
        <w:t>Ciencia y técnica como ideología</w:t>
      </w:r>
      <w:r w:rsidRPr="007E037E">
        <w:rPr>
          <w:rFonts w:asciiTheme="majorHAnsi" w:hAnsiTheme="majorHAnsi" w:cstheme="majorHAnsi"/>
        </w:rPr>
        <w:t xml:space="preserve">. Madrid, </w:t>
      </w:r>
      <w:proofErr w:type="spellStart"/>
      <w:r w:rsidRPr="007E037E">
        <w:rPr>
          <w:rFonts w:asciiTheme="majorHAnsi" w:hAnsiTheme="majorHAnsi" w:cstheme="majorHAnsi"/>
        </w:rPr>
        <w:t>Tecnos</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Jameson</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Fredric</w:t>
      </w:r>
      <w:proofErr w:type="spellEnd"/>
      <w:r w:rsidRPr="007E037E">
        <w:rPr>
          <w:rFonts w:asciiTheme="majorHAnsi" w:hAnsiTheme="majorHAnsi" w:cstheme="majorHAnsi"/>
        </w:rPr>
        <w:t xml:space="preserve"> y </w:t>
      </w:r>
      <w:proofErr w:type="spellStart"/>
      <w:r w:rsidRPr="007E037E">
        <w:rPr>
          <w:rFonts w:asciiTheme="majorHAnsi" w:hAnsiTheme="majorHAnsi" w:cstheme="majorHAnsi"/>
        </w:rPr>
        <w:t>Zizek</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Slavoj</w:t>
      </w:r>
      <w:proofErr w:type="spellEnd"/>
      <w:r w:rsidRPr="007E037E">
        <w:rPr>
          <w:rFonts w:asciiTheme="majorHAnsi" w:hAnsiTheme="majorHAnsi" w:cstheme="majorHAnsi"/>
        </w:rPr>
        <w:t xml:space="preserve"> (2008). </w:t>
      </w:r>
      <w:r w:rsidRPr="007E037E">
        <w:rPr>
          <w:rFonts w:asciiTheme="majorHAnsi" w:hAnsiTheme="majorHAnsi" w:cstheme="majorHAnsi"/>
          <w:i/>
        </w:rPr>
        <w:t>Estudios culturales. Reflexiones sobre el multiculturalismo</w:t>
      </w:r>
      <w:r w:rsidRPr="007E037E">
        <w:rPr>
          <w:rFonts w:asciiTheme="majorHAnsi" w:hAnsiTheme="majorHAnsi" w:cstheme="majorHAnsi"/>
        </w:rPr>
        <w:t>. Buenos Aires, Paidós.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Parente, Diego (2010). </w:t>
      </w:r>
      <w:r w:rsidRPr="007E037E">
        <w:rPr>
          <w:rFonts w:asciiTheme="majorHAnsi" w:hAnsiTheme="majorHAnsi" w:cstheme="majorHAnsi"/>
          <w:i/>
        </w:rPr>
        <w:t>Del órgano al artefacto. Acerca de la dimensión biocultural de la técnica</w:t>
      </w:r>
      <w:r w:rsidRPr="007E037E">
        <w:rPr>
          <w:rFonts w:asciiTheme="majorHAnsi" w:hAnsiTheme="majorHAnsi" w:cstheme="majorHAnsi"/>
        </w:rPr>
        <w:t xml:space="preserve">. </w:t>
      </w:r>
      <w:smartTag w:uri="urn:schemas-microsoft-com:office:smarttags" w:element="PersonName">
        <w:smartTagPr>
          <w:attr w:name="ProductID" w:val="La Plata"/>
        </w:smartTagPr>
        <w:r w:rsidRPr="007E037E">
          <w:rPr>
            <w:rFonts w:asciiTheme="majorHAnsi" w:hAnsiTheme="majorHAnsi" w:cstheme="majorHAnsi"/>
          </w:rPr>
          <w:t>La Plata</w:t>
        </w:r>
      </w:smartTag>
      <w:r w:rsidRPr="007E037E">
        <w:rPr>
          <w:rFonts w:asciiTheme="majorHAnsi" w:hAnsiTheme="majorHAnsi" w:cstheme="majorHAnsi"/>
        </w:rPr>
        <w:t xml:space="preserve">, Editorial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7E037E">
            <w:rPr>
              <w:rFonts w:asciiTheme="majorHAnsi" w:hAnsiTheme="majorHAnsi" w:cstheme="majorHAnsi"/>
            </w:rPr>
            <w:t>la Universidad</w:t>
          </w:r>
        </w:smartTag>
        <w:r w:rsidRPr="007E037E">
          <w:rPr>
            <w:rFonts w:asciiTheme="majorHAnsi" w:hAnsiTheme="majorHAnsi" w:cstheme="majorHAnsi"/>
          </w:rPr>
          <w:t xml:space="preserve"> Nacional</w:t>
        </w:r>
      </w:smartTag>
      <w:r w:rsidRPr="007E037E">
        <w:rPr>
          <w:rFonts w:asciiTheme="majorHAnsi" w:hAnsiTheme="majorHAnsi" w:cstheme="majorHAnsi"/>
        </w:rPr>
        <w:t xml:space="preserve"> de </w:t>
      </w:r>
      <w:smartTag w:uri="urn:schemas-microsoft-com:office:smarttags" w:element="PersonName">
        <w:smartTagPr>
          <w:attr w:name="ProductID" w:val="La Plata"/>
        </w:smartTagPr>
        <w:r w:rsidRPr="007E037E">
          <w:rPr>
            <w:rFonts w:asciiTheme="majorHAnsi" w:hAnsiTheme="majorHAnsi" w:cstheme="majorHAnsi"/>
          </w:rPr>
          <w:t>La Plata</w:t>
        </w:r>
      </w:smartTag>
      <w:r w:rsidRPr="007E037E">
        <w:rPr>
          <w:rFonts w:asciiTheme="majorHAnsi" w:hAnsiTheme="majorHAnsi" w:cstheme="majorHAnsi"/>
        </w:rPr>
        <w:t xml:space="preserve"> (</w:t>
      </w:r>
      <w:proofErr w:type="spellStart"/>
      <w:r w:rsidRPr="007E037E">
        <w:rPr>
          <w:rFonts w:asciiTheme="majorHAnsi" w:hAnsiTheme="majorHAnsi" w:cstheme="majorHAnsi"/>
        </w:rPr>
        <w:t>Edulp</w:t>
      </w:r>
      <w:proofErr w:type="spellEnd"/>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Snow, Charles P. (2000). </w:t>
      </w:r>
      <w:r w:rsidRPr="007E037E">
        <w:rPr>
          <w:rFonts w:asciiTheme="majorHAnsi" w:hAnsiTheme="majorHAnsi" w:cstheme="majorHAnsi"/>
          <w:i/>
        </w:rPr>
        <w:t>Las dos culturas</w:t>
      </w:r>
      <w:r w:rsidRPr="007E037E">
        <w:rPr>
          <w:rFonts w:asciiTheme="majorHAnsi" w:hAnsiTheme="majorHAnsi" w:cstheme="majorHAnsi"/>
        </w:rPr>
        <w:t>. Buenos Aires, Nueva Visión.</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 xml:space="preserve">UNIDAD 3: </w:t>
      </w:r>
      <w:smartTag w:uri="urn:schemas-microsoft-com:office:smarttags" w:element="PersonName">
        <w:smartTagPr>
          <w:attr w:name="ProductID" w:val="LA CULTURA COMO"/>
        </w:smartTagPr>
        <w:r w:rsidRPr="007E037E">
          <w:rPr>
            <w:rFonts w:asciiTheme="majorHAnsi" w:hAnsiTheme="majorHAnsi" w:cstheme="majorHAnsi"/>
            <w:b/>
          </w:rPr>
          <w:t>LA CULTURA COMO</w:t>
        </w:r>
      </w:smartTag>
      <w:r w:rsidRPr="007E037E">
        <w:rPr>
          <w:rFonts w:asciiTheme="majorHAnsi" w:hAnsiTheme="majorHAnsi" w:cstheme="majorHAnsi"/>
          <w:b/>
        </w:rPr>
        <w:t xml:space="preserve"> COMUNICACIÓN: INFORMACIÓN Y ESPECTÁCULO </w:t>
      </w:r>
    </w:p>
    <w:p w:rsidR="00C506BE" w:rsidRPr="007E037E" w:rsidRDefault="00C506BE" w:rsidP="00C506BE">
      <w:pPr>
        <w:spacing w:line="240" w:lineRule="auto"/>
        <w:contextualSpacing/>
        <w:rPr>
          <w:rFonts w:asciiTheme="majorHAnsi" w:hAnsiTheme="majorHAnsi" w:cstheme="majorHAnsi"/>
          <w:i/>
        </w:rPr>
      </w:pPr>
    </w:p>
    <w:p w:rsidR="00C506BE" w:rsidRPr="007E037E" w:rsidRDefault="00C506BE" w:rsidP="00C506BE">
      <w:pPr>
        <w:spacing w:line="240" w:lineRule="auto"/>
        <w:contextualSpacing/>
        <w:jc w:val="both"/>
        <w:rPr>
          <w:rFonts w:asciiTheme="majorHAnsi" w:hAnsiTheme="majorHAnsi" w:cstheme="majorHAnsi"/>
        </w:rPr>
      </w:pPr>
      <w:r w:rsidRPr="007E037E">
        <w:rPr>
          <w:rFonts w:asciiTheme="majorHAnsi" w:hAnsiTheme="majorHAnsi" w:cstheme="majorHAnsi"/>
        </w:rPr>
        <w:t>Transformaciones de la experiencia de la cultura a mediados del siglo XX. Relación entre saber, poder y subjetivación. Los medios masivos de comunicación y las tecnologías de información como nuevos configuradores de la cultura occidental. Primera alternativa de explicación: la noción de episteme. Segunda alternativa: el concepto de espectáculo. Derivaciones contemporáneas de ambas alternativas.</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ind w:left="1410" w:hanging="1410"/>
        <w:contextualSpacing/>
        <w:rPr>
          <w:rFonts w:asciiTheme="majorHAnsi" w:hAnsiTheme="majorHAnsi" w:cstheme="majorHAnsi"/>
          <w:b/>
        </w:rPr>
      </w:pPr>
      <w:r w:rsidRPr="007E037E">
        <w:rPr>
          <w:rFonts w:asciiTheme="majorHAnsi" w:hAnsiTheme="majorHAnsi" w:cstheme="majorHAnsi"/>
          <w:b/>
        </w:rPr>
        <w:t>Bibliografía principal:</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Debord</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Guy</w:t>
      </w:r>
      <w:proofErr w:type="spellEnd"/>
      <w:r w:rsidRPr="007E037E">
        <w:rPr>
          <w:rFonts w:asciiTheme="majorHAnsi" w:hAnsiTheme="majorHAnsi" w:cstheme="majorHAnsi"/>
        </w:rPr>
        <w:t xml:space="preserve"> (2008). “La separación consumada”, “La mercancía como espectáculo” y “Unidad y división en la apariencia”. En </w:t>
      </w:r>
      <w:r w:rsidRPr="007E037E">
        <w:rPr>
          <w:rFonts w:asciiTheme="majorHAnsi" w:hAnsiTheme="majorHAnsi" w:cstheme="majorHAnsi"/>
          <w:i/>
        </w:rPr>
        <w:t>La sociedad del espectáculo</w:t>
      </w:r>
      <w:r w:rsidRPr="007E037E">
        <w:rPr>
          <w:rFonts w:asciiTheme="majorHAnsi" w:hAnsiTheme="majorHAnsi" w:cstheme="majorHAnsi"/>
        </w:rPr>
        <w:t xml:space="preserve">. Buenos Aires, </w:t>
      </w:r>
      <w:smartTag w:uri="urn:schemas-microsoft-com:office:smarttags" w:element="PersonName">
        <w:smartTagPr>
          <w:attr w:name="ProductID" w:val="La Marca Editora."/>
        </w:smartTagPr>
        <w:r w:rsidRPr="007E037E">
          <w:rPr>
            <w:rFonts w:asciiTheme="majorHAnsi" w:hAnsiTheme="majorHAnsi" w:cstheme="majorHAnsi"/>
          </w:rPr>
          <w:t>La Marca Editora.</w:t>
        </w:r>
      </w:smartTag>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Deleuze</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Gilles</w:t>
      </w:r>
      <w:proofErr w:type="spellEnd"/>
      <w:r w:rsidRPr="007E037E">
        <w:rPr>
          <w:rFonts w:asciiTheme="majorHAnsi" w:hAnsiTheme="majorHAnsi" w:cstheme="majorHAnsi"/>
        </w:rPr>
        <w:t xml:space="preserve"> (2005). “Anexo. Sobre la muerte del hombre y del superhombre”. En </w:t>
      </w:r>
      <w:r w:rsidRPr="007E037E">
        <w:rPr>
          <w:rFonts w:asciiTheme="majorHAnsi" w:hAnsiTheme="majorHAnsi" w:cstheme="majorHAnsi"/>
          <w:i/>
        </w:rPr>
        <w:t>Foucault</w:t>
      </w:r>
      <w:r w:rsidRPr="007E037E">
        <w:rPr>
          <w:rFonts w:asciiTheme="majorHAnsi" w:hAnsiTheme="majorHAnsi" w:cstheme="majorHAnsi"/>
        </w:rPr>
        <w:t>. Buenos Aires, Paidós.</w:t>
      </w:r>
    </w:p>
    <w:p w:rsidR="00C506BE" w:rsidRPr="007E037E" w:rsidRDefault="00C506BE" w:rsidP="00C506BE">
      <w:pPr>
        <w:spacing w:line="240" w:lineRule="auto"/>
        <w:ind w:right="-249"/>
        <w:contextualSpacing/>
        <w:jc w:val="both"/>
        <w:rPr>
          <w:rFonts w:asciiTheme="majorHAnsi" w:hAnsiTheme="majorHAnsi" w:cstheme="majorHAnsi"/>
        </w:rPr>
      </w:pPr>
      <w:r w:rsidRPr="007E037E">
        <w:rPr>
          <w:rFonts w:asciiTheme="majorHAnsi" w:hAnsiTheme="majorHAnsi" w:cstheme="majorHAnsi"/>
        </w:rPr>
        <w:t xml:space="preserve">Foucault, Michel (1997). “Prefacio” y “Las ciencias humanas”. En </w:t>
      </w:r>
      <w:r w:rsidRPr="007E037E">
        <w:rPr>
          <w:rFonts w:asciiTheme="majorHAnsi" w:hAnsiTheme="majorHAnsi" w:cstheme="majorHAnsi"/>
          <w:i/>
        </w:rPr>
        <w:t>Las palabras y las cosas, Una arqueología de las ciencias humanas</w:t>
      </w:r>
      <w:r w:rsidRPr="007E037E">
        <w:rPr>
          <w:rFonts w:asciiTheme="majorHAnsi" w:hAnsiTheme="majorHAnsi" w:cstheme="majorHAnsi"/>
        </w:rPr>
        <w:t>. México, Siglo XXI.</w:t>
      </w:r>
    </w:p>
    <w:p w:rsidR="00C506BE" w:rsidRPr="007E037E" w:rsidRDefault="00C506BE" w:rsidP="00C506BE">
      <w:pPr>
        <w:spacing w:line="240" w:lineRule="auto"/>
        <w:ind w:right="-249"/>
        <w:contextualSpacing/>
        <w:jc w:val="both"/>
        <w:rPr>
          <w:rFonts w:asciiTheme="majorHAnsi" w:hAnsiTheme="majorHAnsi" w:cstheme="majorHAnsi"/>
        </w:rPr>
      </w:pPr>
      <w:proofErr w:type="spellStart"/>
      <w:r w:rsidRPr="007E037E">
        <w:rPr>
          <w:rFonts w:asciiTheme="majorHAnsi" w:hAnsiTheme="majorHAnsi" w:cstheme="majorHAnsi"/>
        </w:rPr>
        <w:t>Sfez</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Lucien</w:t>
      </w:r>
      <w:proofErr w:type="spellEnd"/>
      <w:r w:rsidRPr="007E037E">
        <w:rPr>
          <w:rFonts w:asciiTheme="majorHAnsi" w:hAnsiTheme="majorHAnsi" w:cstheme="majorHAnsi"/>
        </w:rPr>
        <w:t xml:space="preserve"> (1995). “Prefacio a la segunda edición”, “Para una crítica de la comunicación: tres metáforas, tres visiones del mundo…” y “Las tecnologías del espíritu”. En </w:t>
      </w:r>
      <w:r w:rsidRPr="007E037E">
        <w:rPr>
          <w:rFonts w:asciiTheme="majorHAnsi" w:hAnsiTheme="majorHAnsi" w:cstheme="majorHAnsi"/>
          <w:i/>
        </w:rPr>
        <w:t>Crítica de la comunicación</w:t>
      </w:r>
      <w:r w:rsidRPr="007E037E">
        <w:rPr>
          <w:rFonts w:asciiTheme="majorHAnsi" w:hAnsiTheme="majorHAnsi" w:cstheme="majorHAnsi"/>
        </w:rPr>
        <w:t xml:space="preserve">. Buenos Aires, </w:t>
      </w:r>
      <w:proofErr w:type="spellStart"/>
      <w:r w:rsidRPr="007E037E">
        <w:rPr>
          <w:rFonts w:asciiTheme="majorHAnsi" w:hAnsiTheme="majorHAnsi" w:cstheme="majorHAnsi"/>
        </w:rPr>
        <w:t>Amorrortu</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Sibilia</w:t>
      </w:r>
      <w:proofErr w:type="spellEnd"/>
      <w:r w:rsidRPr="007E037E">
        <w:rPr>
          <w:rFonts w:asciiTheme="majorHAnsi" w:hAnsiTheme="majorHAnsi" w:cstheme="majorHAnsi"/>
        </w:rPr>
        <w:t xml:space="preserve">, Paula (2008). “El show del yo” y “Yo espectacular y la gestión de sí como una marca”. En </w:t>
      </w:r>
      <w:r w:rsidRPr="007E037E">
        <w:rPr>
          <w:rFonts w:asciiTheme="majorHAnsi" w:hAnsiTheme="majorHAnsi" w:cstheme="majorHAnsi"/>
          <w:i/>
        </w:rPr>
        <w:t>La intimidad como espectáculo</w:t>
      </w:r>
      <w:r w:rsidRPr="007E037E">
        <w:rPr>
          <w:rFonts w:asciiTheme="majorHAnsi" w:hAnsiTheme="majorHAnsi" w:cstheme="majorHAnsi"/>
        </w:rPr>
        <w:t xml:space="preserve">, Buenos Aires, Fondo de Cultura Económica. </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Bibliografía complementaria:</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Burroughs</w:t>
      </w:r>
      <w:proofErr w:type="spellEnd"/>
      <w:r w:rsidRPr="007E037E">
        <w:rPr>
          <w:rFonts w:asciiTheme="majorHAnsi" w:hAnsiTheme="majorHAnsi" w:cstheme="majorHAnsi"/>
        </w:rPr>
        <w:t xml:space="preserve">, William (2009). </w:t>
      </w:r>
      <w:r w:rsidRPr="007E037E">
        <w:rPr>
          <w:rFonts w:asciiTheme="majorHAnsi" w:hAnsiTheme="majorHAnsi" w:cstheme="majorHAnsi"/>
          <w:i/>
        </w:rPr>
        <w:t>La revolución electrónica</w:t>
      </w:r>
      <w:r w:rsidRPr="007E037E">
        <w:rPr>
          <w:rFonts w:asciiTheme="majorHAnsi" w:hAnsiTheme="majorHAnsi" w:cstheme="majorHAnsi"/>
        </w:rPr>
        <w:t>. Buenos Aires, Caja Negra.</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Flusser</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Vilém</w:t>
      </w:r>
      <w:proofErr w:type="spellEnd"/>
      <w:r w:rsidRPr="007E037E">
        <w:rPr>
          <w:rFonts w:asciiTheme="majorHAnsi" w:hAnsiTheme="majorHAnsi" w:cstheme="majorHAnsi"/>
        </w:rPr>
        <w:t xml:space="preserve"> (2005). “La sociedad alfanumérica”. En </w:t>
      </w:r>
      <w:r w:rsidRPr="007E037E">
        <w:rPr>
          <w:rFonts w:asciiTheme="majorHAnsi" w:hAnsiTheme="majorHAnsi" w:cstheme="majorHAnsi"/>
          <w:i/>
        </w:rPr>
        <w:t>Revista Austral de Ciencias Sociales</w:t>
      </w:r>
      <w:r w:rsidRPr="007E037E">
        <w:rPr>
          <w:rFonts w:asciiTheme="majorHAnsi" w:hAnsiTheme="majorHAnsi" w:cstheme="majorHAnsi"/>
        </w:rPr>
        <w:t xml:space="preserve">, Nro.9. Valdivia, Universidad Austral de Chile. </w:t>
      </w:r>
    </w:p>
    <w:p w:rsidR="00C506BE" w:rsidRPr="007E037E" w:rsidRDefault="00C506BE" w:rsidP="00C506BE">
      <w:pPr>
        <w:spacing w:line="240" w:lineRule="auto"/>
        <w:contextualSpacing/>
        <w:rPr>
          <w:rFonts w:asciiTheme="majorHAnsi" w:hAnsiTheme="majorHAnsi" w:cstheme="majorHAnsi"/>
          <w:lang w:val="fr-FR"/>
        </w:rPr>
      </w:pPr>
      <w:r w:rsidRPr="007E037E">
        <w:rPr>
          <w:rFonts w:asciiTheme="majorHAnsi" w:hAnsiTheme="majorHAnsi" w:cstheme="majorHAnsi"/>
          <w:lang w:val="fr-FR"/>
        </w:rPr>
        <w:t xml:space="preserve">En Internet: </w:t>
      </w:r>
      <w:hyperlink r:id="rId14" w:history="1">
        <w:r w:rsidRPr="007E037E">
          <w:rPr>
            <w:rStyle w:val="Hipervnculo"/>
            <w:rFonts w:asciiTheme="majorHAnsi" w:hAnsiTheme="majorHAnsi" w:cstheme="majorHAnsi"/>
            <w:lang w:val="fr-FR"/>
          </w:rPr>
          <w:t>http://www.latindex.ppl.unam.mx/index.php/browse/browseBySet/6074?sortOrderId=1&amp;recordsPage=3</w:t>
        </w:r>
      </w:hyperlink>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lang w:val="fr-FR"/>
        </w:rPr>
        <w:t>Morey</w:t>
      </w:r>
      <w:proofErr w:type="spellEnd"/>
      <w:r w:rsidRPr="007E037E">
        <w:rPr>
          <w:rFonts w:asciiTheme="majorHAnsi" w:hAnsiTheme="majorHAnsi" w:cstheme="majorHAnsi"/>
          <w:lang w:val="fr-FR"/>
        </w:rPr>
        <w:t xml:space="preserve">, Miguel (1987). </w:t>
      </w:r>
      <w:r w:rsidRPr="007E037E">
        <w:rPr>
          <w:rFonts w:asciiTheme="majorHAnsi" w:hAnsiTheme="majorHAnsi" w:cstheme="majorHAnsi"/>
          <w:i/>
        </w:rPr>
        <w:t>El hombre como argumento</w:t>
      </w:r>
      <w:r w:rsidRPr="007E037E">
        <w:rPr>
          <w:rFonts w:asciiTheme="majorHAnsi" w:hAnsiTheme="majorHAnsi" w:cstheme="majorHAnsi"/>
        </w:rPr>
        <w:t xml:space="preserve">. Barcelona, </w:t>
      </w:r>
      <w:proofErr w:type="spellStart"/>
      <w:r w:rsidRPr="007E037E">
        <w:rPr>
          <w:rFonts w:asciiTheme="majorHAnsi" w:hAnsiTheme="majorHAnsi" w:cstheme="majorHAnsi"/>
        </w:rPr>
        <w:t>Anthropos</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Rodríguez, Pablo (2012). </w:t>
      </w:r>
      <w:r w:rsidRPr="007E037E">
        <w:rPr>
          <w:rFonts w:asciiTheme="majorHAnsi" w:hAnsiTheme="majorHAnsi" w:cstheme="majorHAnsi"/>
          <w:i/>
        </w:rPr>
        <w:t>Historia de la información. Del nacimiento de la estadística y la matemática moderna a los medios masivos y las comunidades virtuales</w:t>
      </w:r>
      <w:r w:rsidRPr="007E037E">
        <w:rPr>
          <w:rFonts w:asciiTheme="majorHAnsi" w:hAnsiTheme="majorHAnsi" w:cstheme="majorHAnsi"/>
        </w:rPr>
        <w:t xml:space="preserve">. Buenos Aires, Capital Intelectual. </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 xml:space="preserve">UNIDAD 4: “POS-CULTURA”: POSMODERNIDAD, POSMODERNISMO Y POSHUMANISMO </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jc w:val="both"/>
        <w:rPr>
          <w:rFonts w:asciiTheme="majorHAnsi" w:hAnsiTheme="majorHAnsi" w:cstheme="majorHAnsi"/>
        </w:rPr>
      </w:pPr>
      <w:r w:rsidRPr="007E037E">
        <w:rPr>
          <w:rFonts w:asciiTheme="majorHAnsi" w:hAnsiTheme="majorHAnsi" w:cstheme="majorHAnsi"/>
        </w:rPr>
        <w:t xml:space="preserve">Explosión de visibilidad y </w:t>
      </w:r>
      <w:proofErr w:type="spellStart"/>
      <w:r w:rsidRPr="007E037E">
        <w:rPr>
          <w:rFonts w:asciiTheme="majorHAnsi" w:hAnsiTheme="majorHAnsi" w:cstheme="majorHAnsi"/>
        </w:rPr>
        <w:t>enunciabilidad</w:t>
      </w:r>
      <w:proofErr w:type="spellEnd"/>
      <w:r w:rsidRPr="007E037E">
        <w:rPr>
          <w:rFonts w:asciiTheme="majorHAnsi" w:hAnsiTheme="majorHAnsi" w:cstheme="majorHAnsi"/>
        </w:rPr>
        <w:t xml:space="preserve"> de las culturas sometidas por Occidente: de la aculturación a la transculturación. La especificidad latinoamericana de este proceso. La implosión de la imagen occidental de la cultura. Ascenso de la posmodernidad en el ámbito de la filosofía y </w:t>
      </w:r>
      <w:r w:rsidRPr="007E037E">
        <w:rPr>
          <w:rFonts w:asciiTheme="majorHAnsi" w:hAnsiTheme="majorHAnsi" w:cstheme="majorHAnsi"/>
        </w:rPr>
        <w:lastRenderedPageBreak/>
        <w:t xml:space="preserve">del posmodernismo en el ámbito de la cultura. Filosofía de la cultura versus filosofía de la historia: el </w:t>
      </w:r>
      <w:proofErr w:type="spellStart"/>
      <w:r w:rsidRPr="007E037E">
        <w:rPr>
          <w:rFonts w:asciiTheme="majorHAnsi" w:hAnsiTheme="majorHAnsi" w:cstheme="majorHAnsi"/>
        </w:rPr>
        <w:t>poshumanismo</w:t>
      </w:r>
      <w:proofErr w:type="spellEnd"/>
      <w:r w:rsidRPr="007E037E">
        <w:rPr>
          <w:rFonts w:asciiTheme="majorHAnsi" w:hAnsiTheme="majorHAnsi" w:cstheme="majorHAnsi"/>
        </w:rPr>
        <w:t xml:space="preserve"> como desenmascaramiento de todas las etapas anteriores (cultura como </w:t>
      </w:r>
      <w:proofErr w:type="spellStart"/>
      <w:r w:rsidRPr="007E037E">
        <w:rPr>
          <w:rFonts w:asciiTheme="majorHAnsi" w:hAnsiTheme="majorHAnsi" w:cstheme="majorHAnsi"/>
          <w:i/>
        </w:rPr>
        <w:t>Bildung</w:t>
      </w:r>
      <w:proofErr w:type="spellEnd"/>
      <w:r w:rsidRPr="007E037E">
        <w:rPr>
          <w:rFonts w:asciiTheme="majorHAnsi" w:hAnsiTheme="majorHAnsi" w:cstheme="majorHAnsi"/>
        </w:rPr>
        <w:t xml:space="preserve">, cultura como comunicación y cultura contrapuesta a ciencia y técnica). Apuntes para un nuevo comienzo. </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Méndez, María Laura y </w:t>
      </w:r>
      <w:proofErr w:type="spellStart"/>
      <w:r w:rsidRPr="007E037E">
        <w:rPr>
          <w:rFonts w:asciiTheme="majorHAnsi" w:hAnsiTheme="majorHAnsi" w:cstheme="majorHAnsi"/>
        </w:rPr>
        <w:t>Farneda</w:t>
      </w:r>
      <w:proofErr w:type="spellEnd"/>
      <w:r w:rsidRPr="007E037E">
        <w:rPr>
          <w:rFonts w:asciiTheme="majorHAnsi" w:hAnsiTheme="majorHAnsi" w:cstheme="majorHAnsi"/>
        </w:rPr>
        <w:t xml:space="preserve">, Pablo (2010). “Interculturalidad, </w:t>
      </w:r>
      <w:proofErr w:type="spellStart"/>
      <w:r w:rsidRPr="007E037E">
        <w:rPr>
          <w:rFonts w:asciiTheme="majorHAnsi" w:hAnsiTheme="majorHAnsi" w:cstheme="majorHAnsi"/>
        </w:rPr>
        <w:t>transculturalidad</w:t>
      </w:r>
      <w:proofErr w:type="spellEnd"/>
      <w:r w:rsidRPr="007E037E">
        <w:rPr>
          <w:rFonts w:asciiTheme="majorHAnsi" w:hAnsiTheme="majorHAnsi" w:cstheme="majorHAnsi"/>
        </w:rPr>
        <w:t xml:space="preserve">, mestizaje y diferencia”. En Mirta </w:t>
      </w:r>
      <w:proofErr w:type="spellStart"/>
      <w:r w:rsidRPr="007E037E">
        <w:rPr>
          <w:rFonts w:asciiTheme="majorHAnsi" w:hAnsiTheme="majorHAnsi" w:cstheme="majorHAnsi"/>
        </w:rPr>
        <w:t>Giaccaglia</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comp.</w:t>
      </w:r>
      <w:proofErr w:type="spellEnd"/>
      <w:r w:rsidRPr="007E037E">
        <w:rPr>
          <w:rFonts w:asciiTheme="majorHAnsi" w:hAnsiTheme="majorHAnsi" w:cstheme="majorHAnsi"/>
        </w:rPr>
        <w:t xml:space="preserve">). </w:t>
      </w:r>
      <w:r w:rsidRPr="007E037E">
        <w:rPr>
          <w:rFonts w:asciiTheme="majorHAnsi" w:hAnsiTheme="majorHAnsi" w:cstheme="majorHAnsi"/>
          <w:i/>
        </w:rPr>
        <w:t>Efectos de la razón moderna. La interculturalidad como respuesta</w:t>
      </w:r>
      <w:r w:rsidRPr="007E037E">
        <w:rPr>
          <w:rFonts w:asciiTheme="majorHAnsi" w:hAnsiTheme="majorHAnsi" w:cstheme="majorHAnsi"/>
        </w:rPr>
        <w:t xml:space="preserve">. Paraná, Fundación </w:t>
      </w:r>
      <w:smartTag w:uri="urn:schemas-microsoft-com:office:smarttags" w:element="PersonName">
        <w:smartTagPr>
          <w:attr w:name="ProductID" w:val="La Hendija."/>
        </w:smartTagPr>
        <w:r w:rsidRPr="007E037E">
          <w:rPr>
            <w:rFonts w:asciiTheme="majorHAnsi" w:hAnsiTheme="majorHAnsi" w:cstheme="majorHAnsi"/>
          </w:rPr>
          <w:t>La Hendija.</w:t>
        </w:r>
      </w:smartTag>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Deleuze</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Gilles</w:t>
      </w:r>
      <w:proofErr w:type="spellEnd"/>
      <w:r w:rsidRPr="007E037E">
        <w:rPr>
          <w:rFonts w:asciiTheme="majorHAnsi" w:hAnsiTheme="majorHAnsi" w:cstheme="majorHAnsi"/>
        </w:rPr>
        <w:t>. “Posdata a las sociedades de control” (varias ediciones).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En Internet: </w:t>
      </w:r>
      <w:hyperlink r:id="rId15" w:history="1">
        <w:r w:rsidRPr="007E037E">
          <w:rPr>
            <w:rStyle w:val="Hipervnculo"/>
            <w:rFonts w:asciiTheme="majorHAnsi" w:hAnsiTheme="majorHAnsi" w:cstheme="majorHAnsi"/>
          </w:rPr>
          <w:t>http://erraiz.wordpress.com/2009/11/04/postdata-sobre-las-sociedades-de-control/</w:t>
        </w:r>
      </w:hyperlink>
    </w:p>
    <w:p w:rsidR="00C506BE" w:rsidRPr="007E037E" w:rsidRDefault="00C506BE" w:rsidP="00C506BE">
      <w:pPr>
        <w:spacing w:line="240" w:lineRule="auto"/>
        <w:contextualSpacing/>
        <w:rPr>
          <w:rFonts w:asciiTheme="majorHAnsi" w:hAnsiTheme="majorHAnsi" w:cstheme="majorHAnsi"/>
          <w:lang w:val="fr-FR"/>
        </w:rPr>
      </w:pPr>
      <w:proofErr w:type="spellStart"/>
      <w:r w:rsidRPr="007E037E">
        <w:rPr>
          <w:rFonts w:asciiTheme="majorHAnsi" w:hAnsiTheme="majorHAnsi" w:cstheme="majorHAnsi"/>
        </w:rPr>
        <w:t>Deleuze</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Gilles</w:t>
      </w:r>
      <w:proofErr w:type="spellEnd"/>
      <w:r w:rsidRPr="007E037E">
        <w:rPr>
          <w:rFonts w:asciiTheme="majorHAnsi" w:hAnsiTheme="majorHAnsi" w:cstheme="majorHAnsi"/>
        </w:rPr>
        <w:t xml:space="preserve"> y </w:t>
      </w:r>
      <w:proofErr w:type="spellStart"/>
      <w:r w:rsidRPr="007E037E">
        <w:rPr>
          <w:rFonts w:asciiTheme="majorHAnsi" w:hAnsiTheme="majorHAnsi" w:cstheme="majorHAnsi"/>
        </w:rPr>
        <w:t>Guattari</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Gilles</w:t>
      </w:r>
      <w:proofErr w:type="spellEnd"/>
      <w:r w:rsidRPr="007E037E">
        <w:rPr>
          <w:rFonts w:asciiTheme="majorHAnsi" w:hAnsiTheme="majorHAnsi" w:cstheme="majorHAnsi"/>
        </w:rPr>
        <w:t xml:space="preserve"> (1991). “Introducción” y “</w:t>
      </w:r>
      <w:proofErr w:type="spellStart"/>
      <w:r w:rsidRPr="007E037E">
        <w:rPr>
          <w:rFonts w:asciiTheme="majorHAnsi" w:hAnsiTheme="majorHAnsi" w:cstheme="majorHAnsi"/>
        </w:rPr>
        <w:t>Percepto</w:t>
      </w:r>
      <w:proofErr w:type="spellEnd"/>
      <w:r w:rsidRPr="007E037E">
        <w:rPr>
          <w:rFonts w:asciiTheme="majorHAnsi" w:hAnsiTheme="majorHAnsi" w:cstheme="majorHAnsi"/>
        </w:rPr>
        <w:t xml:space="preserve">, afecto, concepto”. En </w:t>
      </w:r>
      <w:r w:rsidRPr="007E037E">
        <w:rPr>
          <w:rFonts w:asciiTheme="majorHAnsi" w:hAnsiTheme="majorHAnsi" w:cstheme="majorHAnsi"/>
          <w:i/>
        </w:rPr>
        <w:t>¿Qué es la filosofía</w:t>
      </w:r>
      <w:proofErr w:type="gramStart"/>
      <w:r w:rsidRPr="007E037E">
        <w:rPr>
          <w:rFonts w:asciiTheme="majorHAnsi" w:hAnsiTheme="majorHAnsi" w:cstheme="majorHAnsi"/>
          <w:i/>
        </w:rPr>
        <w:t>?.</w:t>
      </w:r>
      <w:proofErr w:type="gramEnd"/>
      <w:r w:rsidRPr="007E037E">
        <w:rPr>
          <w:rFonts w:asciiTheme="majorHAnsi" w:hAnsiTheme="majorHAnsi" w:cstheme="majorHAnsi"/>
        </w:rPr>
        <w:t xml:space="preserve"> Barcelona, Anagrama. </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Jameson</w:t>
      </w:r>
      <w:proofErr w:type="spellEnd"/>
      <w:r w:rsidRPr="007E037E">
        <w:rPr>
          <w:rFonts w:asciiTheme="majorHAnsi" w:hAnsiTheme="majorHAnsi" w:cstheme="majorHAnsi"/>
        </w:rPr>
        <w:t xml:space="preserve">, </w:t>
      </w:r>
      <w:proofErr w:type="spellStart"/>
      <w:r w:rsidRPr="007E037E">
        <w:rPr>
          <w:rFonts w:asciiTheme="majorHAnsi" w:hAnsiTheme="majorHAnsi" w:cstheme="majorHAnsi"/>
        </w:rPr>
        <w:t>Fredric</w:t>
      </w:r>
      <w:proofErr w:type="spellEnd"/>
      <w:r w:rsidRPr="007E037E">
        <w:rPr>
          <w:rFonts w:asciiTheme="majorHAnsi" w:hAnsiTheme="majorHAnsi" w:cstheme="majorHAnsi"/>
        </w:rPr>
        <w:t xml:space="preserve"> (1991). “El posmodernismo como lógica cultural del capitalismo tardío”. En </w:t>
      </w:r>
      <w:r w:rsidRPr="007E037E">
        <w:rPr>
          <w:rFonts w:asciiTheme="majorHAnsi" w:hAnsiTheme="majorHAnsi" w:cstheme="majorHAnsi"/>
          <w:i/>
        </w:rPr>
        <w:t>Ensayos sobre el posmodernismo</w:t>
      </w:r>
      <w:r w:rsidRPr="007E037E">
        <w:rPr>
          <w:rFonts w:asciiTheme="majorHAnsi" w:hAnsiTheme="majorHAnsi" w:cstheme="majorHAnsi"/>
        </w:rPr>
        <w:t xml:space="preserve">. Buenos Aires, Imago </w:t>
      </w:r>
      <w:proofErr w:type="spellStart"/>
      <w:r w:rsidRPr="007E037E">
        <w:rPr>
          <w:rFonts w:asciiTheme="majorHAnsi" w:hAnsiTheme="majorHAnsi" w:cstheme="majorHAnsi"/>
        </w:rPr>
        <w:t>Mundi</w:t>
      </w:r>
      <w:proofErr w:type="spellEnd"/>
      <w:r w:rsidRPr="007E037E">
        <w:rPr>
          <w:rFonts w:asciiTheme="majorHAnsi" w:hAnsiTheme="majorHAnsi" w:cstheme="majorHAnsi"/>
        </w:rPr>
        <w:t xml:space="preserve">. </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Lyotard</w:t>
      </w:r>
      <w:proofErr w:type="spellEnd"/>
      <w:r w:rsidRPr="007E037E">
        <w:rPr>
          <w:rFonts w:asciiTheme="majorHAnsi" w:hAnsiTheme="majorHAnsi" w:cstheme="majorHAnsi"/>
        </w:rPr>
        <w:t>, Jean-</w:t>
      </w:r>
      <w:proofErr w:type="spellStart"/>
      <w:r w:rsidRPr="007E037E">
        <w:rPr>
          <w:rFonts w:asciiTheme="majorHAnsi" w:hAnsiTheme="majorHAnsi" w:cstheme="majorHAnsi"/>
        </w:rPr>
        <w:t>Francois</w:t>
      </w:r>
      <w:proofErr w:type="spellEnd"/>
      <w:r w:rsidRPr="007E037E">
        <w:rPr>
          <w:rFonts w:asciiTheme="majorHAnsi" w:hAnsiTheme="majorHAnsi" w:cstheme="majorHAnsi"/>
        </w:rPr>
        <w:t xml:space="preserve"> (1987). </w:t>
      </w:r>
      <w:r w:rsidRPr="007E037E">
        <w:rPr>
          <w:rFonts w:asciiTheme="majorHAnsi" w:hAnsiTheme="majorHAnsi" w:cstheme="majorHAnsi"/>
          <w:i/>
        </w:rPr>
        <w:t>La condición postmoderna</w:t>
      </w:r>
      <w:r w:rsidRPr="007E037E">
        <w:rPr>
          <w:rFonts w:asciiTheme="majorHAnsi" w:hAnsiTheme="majorHAnsi" w:cstheme="majorHAnsi"/>
        </w:rPr>
        <w:t>. Madrid, Cátedra (selección de fragmentos).</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Martínez, Margarita (2010). “La soledad en flotación”. En </w:t>
      </w:r>
      <w:proofErr w:type="spellStart"/>
      <w:r w:rsidRPr="007E037E">
        <w:rPr>
          <w:rFonts w:asciiTheme="majorHAnsi" w:hAnsiTheme="majorHAnsi" w:cstheme="majorHAnsi"/>
          <w:i/>
        </w:rPr>
        <w:t>Sloterdijk</w:t>
      </w:r>
      <w:proofErr w:type="spellEnd"/>
      <w:r w:rsidRPr="007E037E">
        <w:rPr>
          <w:rFonts w:asciiTheme="majorHAnsi" w:hAnsiTheme="majorHAnsi" w:cstheme="majorHAnsi"/>
          <w:i/>
        </w:rPr>
        <w:t xml:space="preserve"> y lo político</w:t>
      </w:r>
      <w:r w:rsidRPr="007E037E">
        <w:rPr>
          <w:rFonts w:asciiTheme="majorHAnsi" w:hAnsiTheme="majorHAnsi" w:cstheme="majorHAnsi"/>
        </w:rPr>
        <w:t>. Buenos Aires, Prometeo.</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Rama, Angel (2007). “Literatura y cultura”. En </w:t>
      </w:r>
      <w:r w:rsidRPr="007E037E">
        <w:rPr>
          <w:rFonts w:asciiTheme="majorHAnsi" w:hAnsiTheme="majorHAnsi" w:cstheme="majorHAnsi"/>
          <w:i/>
        </w:rPr>
        <w:t>Transculturación narrativa en América Latina</w:t>
      </w:r>
      <w:r w:rsidRPr="007E037E">
        <w:rPr>
          <w:rFonts w:asciiTheme="majorHAnsi" w:hAnsiTheme="majorHAnsi" w:cstheme="majorHAnsi"/>
        </w:rPr>
        <w:t>. Buenos Aires, Ediciones El Andariego.</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Sloterdijk</w:t>
      </w:r>
      <w:proofErr w:type="spellEnd"/>
      <w:r w:rsidRPr="007E037E">
        <w:rPr>
          <w:rFonts w:asciiTheme="majorHAnsi" w:hAnsiTheme="majorHAnsi" w:cstheme="majorHAnsi"/>
        </w:rPr>
        <w:t xml:space="preserve">, Peter (2000). “Reglas para un parque humano. Una respuesta a ‘Carta sobre el humanismo’”. En revista </w:t>
      </w:r>
      <w:r w:rsidRPr="007E037E">
        <w:rPr>
          <w:rFonts w:asciiTheme="majorHAnsi" w:hAnsiTheme="majorHAnsi" w:cstheme="majorHAnsi"/>
          <w:i/>
        </w:rPr>
        <w:t>Pensamiento de los confines</w:t>
      </w:r>
      <w:r w:rsidRPr="007E037E">
        <w:rPr>
          <w:rFonts w:asciiTheme="majorHAnsi" w:hAnsiTheme="majorHAnsi" w:cstheme="majorHAnsi"/>
        </w:rPr>
        <w:t xml:space="preserve">, Nro. 8. Buenos Aires, </w:t>
      </w:r>
      <w:proofErr w:type="spellStart"/>
      <w:r w:rsidRPr="007E037E">
        <w:rPr>
          <w:rFonts w:asciiTheme="majorHAnsi" w:hAnsiTheme="majorHAnsi" w:cstheme="majorHAnsi"/>
        </w:rPr>
        <w:t>Diótima</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lang w:val="en-US"/>
        </w:rPr>
      </w:pPr>
      <w:r w:rsidRPr="007E037E">
        <w:rPr>
          <w:rFonts w:asciiTheme="majorHAnsi" w:hAnsiTheme="majorHAnsi" w:cstheme="majorHAnsi"/>
          <w:lang w:val="en-US"/>
        </w:rPr>
        <w:t xml:space="preserve">Link: </w:t>
      </w:r>
      <w:hyperlink r:id="rId16" w:history="1">
        <w:r w:rsidRPr="007E037E">
          <w:rPr>
            <w:rStyle w:val="Hipervnculo"/>
            <w:rFonts w:asciiTheme="majorHAnsi" w:hAnsiTheme="majorHAnsi" w:cstheme="majorHAnsi"/>
            <w:lang w:val="en-US"/>
          </w:rPr>
          <w:t>http://www.heideggeriana.com.ar/comentarios/sloterdijk.htm</w:t>
        </w:r>
      </w:hyperlink>
    </w:p>
    <w:p w:rsidR="00C506BE" w:rsidRPr="007E037E" w:rsidRDefault="00C506BE" w:rsidP="00C506BE">
      <w:pPr>
        <w:spacing w:line="240" w:lineRule="auto"/>
        <w:contextualSpacing/>
        <w:rPr>
          <w:rFonts w:asciiTheme="majorHAnsi" w:hAnsiTheme="majorHAnsi" w:cstheme="majorHAnsi"/>
          <w:lang w:val="en-US"/>
        </w:rPr>
      </w:pPr>
    </w:p>
    <w:p w:rsidR="00C506BE" w:rsidRPr="007E037E" w:rsidRDefault="00C506BE" w:rsidP="00C506BE">
      <w:pPr>
        <w:spacing w:line="240" w:lineRule="auto"/>
        <w:contextualSpacing/>
        <w:rPr>
          <w:rFonts w:asciiTheme="majorHAnsi" w:hAnsiTheme="majorHAnsi" w:cstheme="majorHAnsi"/>
          <w:lang w:val="en-US"/>
        </w:rPr>
      </w:pPr>
    </w:p>
    <w:p w:rsidR="00C506BE" w:rsidRPr="007E037E" w:rsidRDefault="00C506BE" w:rsidP="00C506BE">
      <w:pPr>
        <w:spacing w:line="240" w:lineRule="auto"/>
        <w:contextualSpacing/>
        <w:rPr>
          <w:rFonts w:asciiTheme="majorHAnsi" w:hAnsiTheme="majorHAnsi" w:cstheme="majorHAnsi"/>
          <w:b/>
        </w:rPr>
      </w:pPr>
      <w:r w:rsidRPr="007E037E">
        <w:rPr>
          <w:rFonts w:asciiTheme="majorHAnsi" w:hAnsiTheme="majorHAnsi" w:cstheme="majorHAnsi"/>
          <w:b/>
        </w:rPr>
        <w:t>Bibliografía complementaria:</w:t>
      </w:r>
    </w:p>
    <w:p w:rsidR="00C506BE" w:rsidRPr="007E037E" w:rsidRDefault="00C506BE" w:rsidP="00C506BE">
      <w:pPr>
        <w:spacing w:line="240" w:lineRule="auto"/>
        <w:contextualSpacing/>
        <w:rPr>
          <w:rFonts w:asciiTheme="majorHAnsi" w:hAnsiTheme="majorHAnsi" w:cstheme="majorHAnsi"/>
        </w:rPr>
      </w:pP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Harvey, David (1998). </w:t>
      </w:r>
      <w:r w:rsidRPr="007E037E">
        <w:rPr>
          <w:rFonts w:asciiTheme="majorHAnsi" w:hAnsiTheme="majorHAnsi" w:cstheme="majorHAnsi"/>
          <w:i/>
        </w:rPr>
        <w:t>La condición de la posmodernidad. Investigación sobre los orígenes del cambio cultural</w:t>
      </w:r>
      <w:r w:rsidRPr="007E037E">
        <w:rPr>
          <w:rFonts w:asciiTheme="majorHAnsi" w:hAnsiTheme="majorHAnsi" w:cstheme="majorHAnsi"/>
        </w:rPr>
        <w:t xml:space="preserve">. Buenos Aires, </w:t>
      </w:r>
      <w:proofErr w:type="spellStart"/>
      <w:r w:rsidRPr="007E037E">
        <w:rPr>
          <w:rFonts w:asciiTheme="majorHAnsi" w:hAnsiTheme="majorHAnsi" w:cstheme="majorHAnsi"/>
        </w:rPr>
        <w:t>Amorrortu</w:t>
      </w:r>
      <w:proofErr w:type="spellEnd"/>
      <w:r w:rsidRPr="007E037E">
        <w:rPr>
          <w:rFonts w:asciiTheme="majorHAnsi" w:hAnsiTheme="majorHAnsi" w:cstheme="majorHAnsi"/>
        </w:rPr>
        <w:t>.</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Berardi</w:t>
      </w:r>
      <w:proofErr w:type="spellEnd"/>
      <w:r w:rsidRPr="007E037E">
        <w:rPr>
          <w:rFonts w:asciiTheme="majorHAnsi" w:hAnsiTheme="majorHAnsi" w:cstheme="majorHAnsi"/>
        </w:rPr>
        <w:t xml:space="preserve">, Franco (2007). </w:t>
      </w:r>
      <w:r w:rsidRPr="007E037E">
        <w:rPr>
          <w:rFonts w:asciiTheme="majorHAnsi" w:hAnsiTheme="majorHAnsi" w:cstheme="majorHAnsi"/>
          <w:i/>
        </w:rPr>
        <w:t xml:space="preserve">Generación post-alfa. Patologías e imaginarios en el </w:t>
      </w:r>
      <w:proofErr w:type="spellStart"/>
      <w:r w:rsidRPr="007E037E">
        <w:rPr>
          <w:rFonts w:asciiTheme="majorHAnsi" w:hAnsiTheme="majorHAnsi" w:cstheme="majorHAnsi"/>
          <w:i/>
        </w:rPr>
        <w:t>semiocapitalismo</w:t>
      </w:r>
      <w:proofErr w:type="spellEnd"/>
      <w:r w:rsidRPr="007E037E">
        <w:rPr>
          <w:rFonts w:asciiTheme="majorHAnsi" w:hAnsiTheme="majorHAnsi" w:cstheme="majorHAnsi"/>
        </w:rPr>
        <w:t>. Buenos Aires, Tinta Limón.</w:t>
      </w:r>
    </w:p>
    <w:p w:rsidR="00C506BE" w:rsidRPr="007E037E" w:rsidRDefault="00C506BE" w:rsidP="00C506BE">
      <w:pPr>
        <w:spacing w:line="240" w:lineRule="auto"/>
        <w:contextualSpacing/>
        <w:rPr>
          <w:rFonts w:asciiTheme="majorHAnsi" w:hAnsiTheme="majorHAnsi" w:cstheme="majorHAnsi"/>
        </w:rPr>
      </w:pPr>
      <w:r w:rsidRPr="007E037E">
        <w:rPr>
          <w:rFonts w:asciiTheme="majorHAnsi" w:hAnsiTheme="majorHAnsi" w:cstheme="majorHAnsi"/>
        </w:rPr>
        <w:t xml:space="preserve">Ferreyra, Julián (2007). “La bestia humana. Reflexiones </w:t>
      </w:r>
      <w:proofErr w:type="spellStart"/>
      <w:r w:rsidRPr="007E037E">
        <w:rPr>
          <w:rFonts w:asciiTheme="majorHAnsi" w:hAnsiTheme="majorHAnsi" w:cstheme="majorHAnsi"/>
        </w:rPr>
        <w:t>deleuzianas</w:t>
      </w:r>
      <w:proofErr w:type="spellEnd"/>
      <w:r w:rsidRPr="007E037E">
        <w:rPr>
          <w:rFonts w:asciiTheme="majorHAnsi" w:hAnsiTheme="majorHAnsi" w:cstheme="majorHAnsi"/>
        </w:rPr>
        <w:t xml:space="preserve"> en torno a la polémica sobre el humanismo”. En revista </w:t>
      </w:r>
      <w:r w:rsidRPr="007E037E">
        <w:rPr>
          <w:rFonts w:asciiTheme="majorHAnsi" w:hAnsiTheme="majorHAnsi" w:cstheme="majorHAnsi"/>
          <w:i/>
        </w:rPr>
        <w:t>Pensamiento de los confines</w:t>
      </w:r>
      <w:r w:rsidRPr="007E037E">
        <w:rPr>
          <w:rFonts w:asciiTheme="majorHAnsi" w:hAnsiTheme="majorHAnsi" w:cstheme="majorHAnsi"/>
        </w:rPr>
        <w:t>, Nro. 20. Buenos Aires, Fondo de Cultura Económica.</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Jay</w:t>
      </w:r>
      <w:proofErr w:type="spellEnd"/>
      <w:r w:rsidRPr="007E037E">
        <w:rPr>
          <w:rFonts w:asciiTheme="majorHAnsi" w:hAnsiTheme="majorHAnsi" w:cstheme="majorHAnsi"/>
        </w:rPr>
        <w:t xml:space="preserve">, Martin (2003). </w:t>
      </w:r>
      <w:r w:rsidRPr="007E037E">
        <w:rPr>
          <w:rFonts w:asciiTheme="majorHAnsi" w:hAnsiTheme="majorHAnsi" w:cstheme="majorHAnsi"/>
          <w:i/>
        </w:rPr>
        <w:t>Campos de fuerza. Entre la historia intelectual y la crítica cultural</w:t>
      </w:r>
      <w:r w:rsidRPr="007E037E">
        <w:rPr>
          <w:rFonts w:asciiTheme="majorHAnsi" w:hAnsiTheme="majorHAnsi" w:cstheme="majorHAnsi"/>
        </w:rPr>
        <w:t>. Buenos Aires, Paidós.</w:t>
      </w:r>
    </w:p>
    <w:p w:rsidR="00C506BE" w:rsidRPr="007E037E" w:rsidRDefault="00C506BE" w:rsidP="00C506BE">
      <w:pPr>
        <w:spacing w:line="240" w:lineRule="auto"/>
        <w:contextualSpacing/>
        <w:rPr>
          <w:rFonts w:asciiTheme="majorHAnsi" w:hAnsiTheme="majorHAnsi" w:cstheme="majorHAnsi"/>
        </w:rPr>
      </w:pPr>
      <w:proofErr w:type="spellStart"/>
      <w:r w:rsidRPr="007E037E">
        <w:rPr>
          <w:rFonts w:asciiTheme="majorHAnsi" w:hAnsiTheme="majorHAnsi" w:cstheme="majorHAnsi"/>
        </w:rPr>
        <w:t>Latour</w:t>
      </w:r>
      <w:proofErr w:type="spellEnd"/>
      <w:r w:rsidRPr="007E037E">
        <w:rPr>
          <w:rFonts w:asciiTheme="majorHAnsi" w:hAnsiTheme="majorHAnsi" w:cstheme="majorHAnsi"/>
        </w:rPr>
        <w:t xml:space="preserve">, Bruno (2007). </w:t>
      </w:r>
      <w:r w:rsidRPr="007E037E">
        <w:rPr>
          <w:rFonts w:asciiTheme="majorHAnsi" w:hAnsiTheme="majorHAnsi" w:cstheme="majorHAnsi"/>
          <w:i/>
        </w:rPr>
        <w:t>Nunca fuimos modernos. Ensayo de antropología simétrica</w:t>
      </w:r>
      <w:r w:rsidRPr="007E037E">
        <w:rPr>
          <w:rFonts w:asciiTheme="majorHAnsi" w:hAnsiTheme="majorHAnsi" w:cstheme="majorHAnsi"/>
        </w:rPr>
        <w:t>. Buenos Aires, Siglo XXI.</w:t>
      </w:r>
    </w:p>
    <w:p w:rsidR="00C506BE" w:rsidRPr="007E037E" w:rsidRDefault="00C506BE" w:rsidP="00C506BE">
      <w:pPr>
        <w:spacing w:line="240" w:lineRule="auto"/>
        <w:rPr>
          <w:rFonts w:asciiTheme="majorHAnsi" w:hAnsiTheme="majorHAnsi" w:cstheme="majorHAnsi"/>
        </w:rPr>
      </w:pPr>
      <w:r w:rsidRPr="007E037E">
        <w:rPr>
          <w:rFonts w:asciiTheme="majorHAnsi" w:hAnsiTheme="majorHAnsi" w:cstheme="majorHAnsi"/>
        </w:rPr>
        <w:t xml:space="preserve">Marramao, Giacomo (2006). </w:t>
      </w:r>
      <w:r w:rsidRPr="007E037E">
        <w:rPr>
          <w:rFonts w:asciiTheme="majorHAnsi" w:hAnsiTheme="majorHAnsi" w:cstheme="majorHAnsi"/>
          <w:i/>
        </w:rPr>
        <w:t>Pasaje a Occidente</w:t>
      </w:r>
      <w:r w:rsidRPr="007E037E">
        <w:rPr>
          <w:rFonts w:asciiTheme="majorHAnsi" w:hAnsiTheme="majorHAnsi" w:cstheme="majorHAnsi"/>
        </w:rPr>
        <w:t xml:space="preserve">. Buenos Aires, </w:t>
      </w:r>
      <w:proofErr w:type="spellStart"/>
      <w:r w:rsidRPr="007E037E">
        <w:rPr>
          <w:rFonts w:asciiTheme="majorHAnsi" w:hAnsiTheme="majorHAnsi" w:cstheme="majorHAnsi"/>
        </w:rPr>
        <w:t>Katz</w:t>
      </w:r>
      <w:proofErr w:type="spellEnd"/>
      <w:r w:rsidRPr="007E037E">
        <w:rPr>
          <w:rFonts w:asciiTheme="majorHAnsi" w:hAnsiTheme="majorHAnsi" w:cstheme="majorHAnsi"/>
        </w:rPr>
        <w:t>.</w:t>
      </w:r>
    </w:p>
    <w:p w:rsidR="00C506BE" w:rsidRPr="007E037E" w:rsidRDefault="00C506BE" w:rsidP="00C506BE">
      <w:pPr>
        <w:jc w:val="both"/>
        <w:rPr>
          <w:rFonts w:asciiTheme="majorHAnsi" w:hAnsiTheme="majorHAnsi" w:cstheme="majorHAnsi"/>
          <w:b/>
        </w:rPr>
      </w:pPr>
    </w:p>
    <w:p w:rsidR="00F2149E" w:rsidRPr="007E037E" w:rsidRDefault="00F2149E">
      <w:pPr>
        <w:spacing w:line="240" w:lineRule="auto"/>
        <w:jc w:val="both"/>
        <w:rPr>
          <w:rFonts w:asciiTheme="majorHAnsi" w:hAnsiTheme="majorHAnsi" w:cstheme="majorHAnsi"/>
          <w:b/>
        </w:rPr>
      </w:pPr>
    </w:p>
    <w:p w:rsidR="00F2149E" w:rsidRPr="007E037E" w:rsidRDefault="001A5117">
      <w:pPr>
        <w:spacing w:line="240" w:lineRule="auto"/>
        <w:jc w:val="both"/>
        <w:rPr>
          <w:rFonts w:asciiTheme="majorHAnsi" w:hAnsiTheme="majorHAnsi" w:cstheme="majorHAnsi"/>
          <w:b/>
        </w:rPr>
      </w:pPr>
      <w:r w:rsidRPr="007E037E">
        <w:rPr>
          <w:rFonts w:asciiTheme="majorHAnsi" w:hAnsiTheme="majorHAnsi" w:cstheme="majorHAnsi"/>
          <w:b/>
        </w:rPr>
        <w:t>Metodología de cursada y evaluación</w:t>
      </w:r>
    </w:p>
    <w:p w:rsidR="006B7F00" w:rsidRPr="007E037E" w:rsidRDefault="006B7F00" w:rsidP="006B7F00">
      <w:pPr>
        <w:jc w:val="both"/>
        <w:rPr>
          <w:rFonts w:asciiTheme="majorHAnsi" w:hAnsiTheme="majorHAnsi" w:cstheme="majorHAnsi"/>
        </w:rPr>
      </w:pPr>
      <w:r w:rsidRPr="007E037E">
        <w:rPr>
          <w:rFonts w:asciiTheme="majorHAnsi" w:hAnsiTheme="majorHAnsi" w:cstheme="majorHAnsi"/>
        </w:rPr>
        <w:t xml:space="preserve">Los encuentros se abrirán con una exposición del docente que enmarcará la problemática del día, sentará cuestiones a debatir y presentará los vínculos entre los textos de lectura obligatoria y la bibliografía complementaria de cada unidad. Continuarán con la discusión grupal de los respectivos temas y textos, dentro de la cual podrán realizarse exposiciones orales específicas en </w:t>
      </w:r>
      <w:r w:rsidRPr="007E037E">
        <w:rPr>
          <w:rFonts w:asciiTheme="majorHAnsi" w:hAnsiTheme="majorHAnsi" w:cstheme="majorHAnsi"/>
        </w:rPr>
        <w:lastRenderedPageBreak/>
        <w:t>función de los intereses y temas de investigación de los alumnos, sobre todo en vistas a la elaboración del plan de tesis.</w:t>
      </w:r>
    </w:p>
    <w:p w:rsidR="006B7F00" w:rsidRPr="007E037E" w:rsidRDefault="006B7F00" w:rsidP="006B7F00">
      <w:pPr>
        <w:jc w:val="both"/>
        <w:rPr>
          <w:rFonts w:asciiTheme="majorHAnsi" w:hAnsiTheme="majorHAnsi" w:cstheme="majorHAnsi"/>
        </w:rPr>
      </w:pPr>
      <w:r w:rsidRPr="007E037E">
        <w:rPr>
          <w:rFonts w:asciiTheme="majorHAnsi" w:hAnsiTheme="majorHAnsi" w:cstheme="majorHAnsi"/>
        </w:rPr>
        <w:t>Las condiciones de promoción y aprobación final son: 1) asistencia al 75% de las clases; 2) presentación de un plan de trabajo para la monografía final al término de la cursada; 3) presentación de la monografía final en un plazo no mayor a un año.</w:t>
      </w:r>
    </w:p>
    <w:p w:rsidR="00F2149E" w:rsidRPr="007E037E" w:rsidRDefault="00F2149E">
      <w:pPr>
        <w:jc w:val="both"/>
        <w:rPr>
          <w:rFonts w:asciiTheme="majorHAnsi" w:hAnsiTheme="majorHAnsi" w:cstheme="majorHAnsi"/>
          <w:b/>
        </w:rPr>
      </w:pPr>
    </w:p>
    <w:sectPr w:rsidR="00F2149E" w:rsidRPr="007E037E">
      <w:type w:val="continuous"/>
      <w:pgSz w:w="11906" w:h="16838"/>
      <w:pgMar w:top="1985" w:right="1701" w:bottom="1417" w:left="1701" w:header="56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B0" w:rsidRDefault="00D937B0">
      <w:pPr>
        <w:spacing w:after="0" w:line="240" w:lineRule="auto"/>
      </w:pPr>
      <w:r>
        <w:separator/>
      </w:r>
    </w:p>
  </w:endnote>
  <w:endnote w:type="continuationSeparator" w:id="0">
    <w:p w:rsidR="00D937B0" w:rsidRDefault="00D9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B0" w:rsidRDefault="00D937B0">
      <w:pPr>
        <w:spacing w:after="0" w:line="240" w:lineRule="auto"/>
      </w:pPr>
      <w:r>
        <w:separator/>
      </w:r>
    </w:p>
  </w:footnote>
  <w:footnote w:type="continuationSeparator" w:id="0">
    <w:p w:rsidR="00D937B0" w:rsidRDefault="00D93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7B0" w:rsidRDefault="00D937B0">
    <w:pPr>
      <w:pBdr>
        <w:top w:val="nil"/>
        <w:left w:val="nil"/>
        <w:bottom w:val="nil"/>
        <w:right w:val="nil"/>
        <w:between w:val="nil"/>
      </w:pBdr>
      <w:tabs>
        <w:tab w:val="center" w:pos="4252"/>
        <w:tab w:val="right" w:pos="8504"/>
      </w:tabs>
      <w:spacing w:after="0" w:line="240" w:lineRule="auto"/>
      <w:rPr>
        <w:color w:val="000000"/>
      </w:rPr>
    </w:pPr>
    <w:r>
      <w:rPr>
        <w:noProof/>
        <w:lang w:val="es-ES"/>
      </w:rPr>
      <w:drawing>
        <wp:anchor distT="0" distB="0" distL="0" distR="0" simplePos="0" relativeHeight="251658240" behindDoc="0" locked="0" layoutInCell="1" hidden="0" allowOverlap="1">
          <wp:simplePos x="0" y="0"/>
          <wp:positionH relativeFrom="column">
            <wp:posOffset>-813434</wp:posOffset>
          </wp:positionH>
          <wp:positionV relativeFrom="paragraph">
            <wp:posOffset>77470</wp:posOffset>
          </wp:positionV>
          <wp:extent cx="7089140" cy="760266"/>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89140" cy="760266"/>
                  </a:xfrm>
                  <a:prstGeom prst="rect">
                    <a:avLst/>
                  </a:prstGeom>
                  <a:ln/>
                </pic:spPr>
              </pic:pic>
            </a:graphicData>
          </a:graphic>
        </wp:anchor>
      </w:drawing>
    </w:r>
  </w:p>
  <w:p w:rsidR="00D937B0" w:rsidRDefault="00D937B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044A"/>
    <w:multiLevelType w:val="multilevel"/>
    <w:tmpl w:val="580E9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2149E"/>
    <w:rsid w:val="001A5117"/>
    <w:rsid w:val="00236DE2"/>
    <w:rsid w:val="00300582"/>
    <w:rsid w:val="006B7F00"/>
    <w:rsid w:val="007E037E"/>
    <w:rsid w:val="008A44FC"/>
    <w:rsid w:val="009A2FD5"/>
    <w:rsid w:val="00A22CE6"/>
    <w:rsid w:val="00C506BE"/>
    <w:rsid w:val="00D937B0"/>
    <w:rsid w:val="00DD06E7"/>
    <w:rsid w:val="00F214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uiPriority w:val="99"/>
    <w:unhideWhenUsed/>
    <w:rsid w:val="00C506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uiPriority w:val="99"/>
    <w:unhideWhenUsed/>
    <w:rsid w:val="00C50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acquesderrida.com.ar/restos/benjamin_arte.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eideggeriana.com.ar/textos/tecnico_tradicional.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ideggeriana.com.ar/comentarios/sloterdijk.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etzscheana.com.ar/textos/sobre_verdad_y_mentita_en_sentido_extramoral.htm" TargetMode="External"/><Relationship Id="rId5" Type="http://schemas.openxmlformats.org/officeDocument/2006/relationships/webSettings" Target="webSettings.xml"/><Relationship Id="rId15" Type="http://schemas.openxmlformats.org/officeDocument/2006/relationships/hyperlink" Target="http://erraiz.wordpress.com/2009/11/04/postdata-sobre-las-sociedades-de-control/" TargetMode="External"/><Relationship Id="rId10" Type="http://schemas.openxmlformats.org/officeDocument/2006/relationships/hyperlink" Target="http://www.nietzscheana.com.ar/referencias/sobre_la_utilidad.htm" TargetMode="External"/><Relationship Id="rId4" Type="http://schemas.openxmlformats.org/officeDocument/2006/relationships/settings" Target="settings.xml"/><Relationship Id="rId9" Type="http://schemas.openxmlformats.org/officeDocument/2006/relationships/hyperlink" Target="http://www.catedras.fsoc.uba.ar/mari/Archivos/HTML/KANT_ilustracion.htm" TargetMode="External"/><Relationship Id="rId14" Type="http://schemas.openxmlformats.org/officeDocument/2006/relationships/hyperlink" Target="http://www.latindex.ppl.unam.mx/index.php/browse/browseBySet/6074?sortOrderId=1&amp;recordsPage=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2342</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Soler</dc:creator>
  <cp:lastModifiedBy>BARBARA GISELLE ESTER MORANA</cp:lastModifiedBy>
  <cp:revision>2</cp:revision>
  <dcterms:created xsi:type="dcterms:W3CDTF">2020-03-13T18:54:00Z</dcterms:created>
  <dcterms:modified xsi:type="dcterms:W3CDTF">2020-03-13T18:54:00Z</dcterms:modified>
</cp:coreProperties>
</file>