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E" w:rsidRDefault="000D1E34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 xml:space="preserve"> Especialización en Estudios Contemporáneos de América y Europa</w:t>
      </w:r>
    </w:p>
    <w:p w:rsidR="00F2149E" w:rsidRDefault="00F2149E">
      <w:pPr>
        <w:jc w:val="both"/>
        <w:rPr>
          <w:rFonts w:ascii="Teko" w:eastAsia="Teko" w:hAnsi="Teko" w:cs="Teko"/>
          <w:b/>
          <w:sz w:val="52"/>
          <w:szCs w:val="52"/>
        </w:rPr>
      </w:pPr>
    </w:p>
    <w:p w:rsidR="000D1E34" w:rsidRPr="00016F3E" w:rsidRDefault="00024DA9" w:rsidP="000D1E34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Teko" w:eastAsia="Teko" w:hAnsi="Teko" w:cs="Teko"/>
          <w:b/>
          <w:sz w:val="52"/>
          <w:szCs w:val="52"/>
        </w:rPr>
        <w:t xml:space="preserve">Economía política e integración regional </w:t>
      </w:r>
      <w:r w:rsidR="000D1E34">
        <w:rPr>
          <w:rFonts w:ascii="Teko" w:eastAsia="Teko" w:hAnsi="Teko" w:cs="Teko"/>
          <w:b/>
          <w:sz w:val="52"/>
          <w:szCs w:val="52"/>
        </w:rPr>
        <w:t xml:space="preserve"> </w:t>
      </w:r>
    </w:p>
    <w:p w:rsidR="000D1E34" w:rsidRDefault="000D1E34" w:rsidP="000D1E34">
      <w:pPr>
        <w:jc w:val="center"/>
        <w:rPr>
          <w:b/>
          <w:sz w:val="28"/>
          <w:szCs w:val="28"/>
        </w:rPr>
      </w:pPr>
    </w:p>
    <w:p w:rsidR="00F2149E" w:rsidRDefault="00F2149E">
      <w:pPr>
        <w:jc w:val="both"/>
        <w:rPr>
          <w:b/>
          <w:sz w:val="28"/>
          <w:szCs w:val="28"/>
        </w:rPr>
        <w:sectPr w:rsidR="00F2149E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Default="000D1E3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</w:t>
      </w:r>
      <w:r w:rsidR="00024DA9">
        <w:rPr>
          <w:b/>
          <w:sz w:val="32"/>
          <w:szCs w:val="32"/>
        </w:rPr>
        <w:t>s</w:t>
      </w:r>
    </w:p>
    <w:p w:rsidR="00F2149E" w:rsidRDefault="00F2149E">
      <w:pPr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Michele Raitano</w:t>
      </w: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4"/>
          <w:szCs w:val="24"/>
        </w:rPr>
      </w:pPr>
    </w:p>
    <w:p w:rsidR="000A237F" w:rsidRDefault="00024DA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Esteban </w:t>
      </w:r>
      <w:proofErr w:type="spellStart"/>
      <w:r>
        <w:rPr>
          <w:b/>
          <w:sz w:val="24"/>
          <w:szCs w:val="24"/>
        </w:rPr>
        <w:t>Actis</w:t>
      </w:r>
      <w:proofErr w:type="spellEnd"/>
      <w:r w:rsidR="000A237F">
        <w:rPr>
          <w:b/>
          <w:sz w:val="24"/>
          <w:szCs w:val="24"/>
        </w:rPr>
        <w:t xml:space="preserve"> </w:t>
      </w:r>
      <w:r w:rsidR="001A5117">
        <w:br w:type="column"/>
      </w:r>
      <w:r>
        <w:rPr>
          <w:sz w:val="24"/>
          <w:szCs w:val="24"/>
        </w:rPr>
        <w:lastRenderedPageBreak/>
        <w:t>Licenciado en Economía y Comercio (</w:t>
      </w:r>
      <w:proofErr w:type="spellStart"/>
      <w:r>
        <w:rPr>
          <w:sz w:val="24"/>
          <w:szCs w:val="24"/>
        </w:rPr>
        <w:t>Universitá</w:t>
      </w:r>
      <w:proofErr w:type="spellEnd"/>
      <w:r w:rsidR="000A2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Roma La </w:t>
      </w:r>
      <w:proofErr w:type="spellStart"/>
      <w:r>
        <w:rPr>
          <w:sz w:val="24"/>
          <w:szCs w:val="24"/>
        </w:rPr>
        <w:t>Sapienza</w:t>
      </w:r>
      <w:proofErr w:type="spellEnd"/>
      <w:r>
        <w:rPr>
          <w:sz w:val="24"/>
          <w:szCs w:val="24"/>
        </w:rPr>
        <w:t>, Italia</w:t>
      </w:r>
      <w:r w:rsidR="000A237F">
        <w:rPr>
          <w:sz w:val="24"/>
          <w:szCs w:val="24"/>
        </w:rPr>
        <w:t xml:space="preserve">) y Doctor en </w:t>
      </w:r>
      <w:r>
        <w:rPr>
          <w:sz w:val="24"/>
          <w:szCs w:val="24"/>
        </w:rPr>
        <w:t xml:space="preserve">Economía Política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Universitá</w:t>
      </w:r>
      <w:proofErr w:type="spellEnd"/>
      <w:r>
        <w:rPr>
          <w:sz w:val="24"/>
          <w:szCs w:val="24"/>
        </w:rPr>
        <w:t xml:space="preserve"> Roma La </w:t>
      </w:r>
      <w:proofErr w:type="spellStart"/>
      <w:r>
        <w:rPr>
          <w:sz w:val="24"/>
          <w:szCs w:val="24"/>
        </w:rPr>
        <w:t>Sapienza</w:t>
      </w:r>
      <w:proofErr w:type="spellEnd"/>
      <w:r>
        <w:rPr>
          <w:sz w:val="24"/>
          <w:szCs w:val="24"/>
        </w:rPr>
        <w:t>, Italia)</w:t>
      </w:r>
      <w:r w:rsidR="000A237F">
        <w:rPr>
          <w:sz w:val="24"/>
          <w:szCs w:val="24"/>
        </w:rPr>
        <w:t xml:space="preserve">. </w:t>
      </w:r>
    </w:p>
    <w:p w:rsidR="00F2149E" w:rsidRDefault="000A23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 </w:t>
      </w:r>
      <w:r w:rsidR="00024DA9">
        <w:rPr>
          <w:sz w:val="24"/>
          <w:szCs w:val="24"/>
        </w:rPr>
        <w:t xml:space="preserve">Asociado en Política Económica </w:t>
      </w:r>
      <w:r w:rsidR="00024DA9">
        <w:rPr>
          <w:sz w:val="24"/>
          <w:szCs w:val="24"/>
        </w:rPr>
        <w:t>(</w:t>
      </w:r>
      <w:proofErr w:type="spellStart"/>
      <w:r w:rsidR="00024DA9">
        <w:rPr>
          <w:sz w:val="24"/>
          <w:szCs w:val="24"/>
        </w:rPr>
        <w:t>Universitá</w:t>
      </w:r>
      <w:proofErr w:type="spellEnd"/>
      <w:r w:rsidR="00024DA9">
        <w:rPr>
          <w:sz w:val="24"/>
          <w:szCs w:val="24"/>
        </w:rPr>
        <w:t xml:space="preserve"> Roma La </w:t>
      </w:r>
      <w:proofErr w:type="spellStart"/>
      <w:r w:rsidR="00024DA9">
        <w:rPr>
          <w:sz w:val="24"/>
          <w:szCs w:val="24"/>
        </w:rPr>
        <w:t>Sapienza</w:t>
      </w:r>
      <w:proofErr w:type="spellEnd"/>
      <w:r w:rsidR="00024DA9">
        <w:rPr>
          <w:sz w:val="24"/>
          <w:szCs w:val="24"/>
        </w:rPr>
        <w:t>, Italia)</w:t>
      </w:r>
      <w:r>
        <w:rPr>
          <w:sz w:val="24"/>
          <w:szCs w:val="24"/>
        </w:rPr>
        <w:t xml:space="preserve">. </w:t>
      </w:r>
      <w:r w:rsidR="001A5117">
        <w:rPr>
          <w:sz w:val="24"/>
          <w:szCs w:val="24"/>
        </w:rPr>
        <w:t xml:space="preserve">Dirige proyectos de investigación en </w:t>
      </w:r>
      <w:r w:rsidR="00024DA9">
        <w:rPr>
          <w:sz w:val="24"/>
          <w:szCs w:val="24"/>
        </w:rPr>
        <w:t>dicha universidad.</w:t>
      </w:r>
    </w:p>
    <w:p w:rsidR="00024DA9" w:rsidRDefault="00024DA9">
      <w:pPr>
        <w:spacing w:line="240" w:lineRule="auto"/>
        <w:jc w:val="both"/>
        <w:rPr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Licenciado en Relaciones Internacionales (Universidad Nacional de Rosario, Argentina) y Doctor en Relaciones Internacionales (</w:t>
      </w:r>
      <w:r>
        <w:rPr>
          <w:sz w:val="24"/>
          <w:szCs w:val="24"/>
        </w:rPr>
        <w:t xml:space="preserve">Universidad Nacional de Rosario, Argentina) </w:t>
      </w:r>
      <w:r>
        <w:rPr>
          <w:sz w:val="24"/>
          <w:szCs w:val="24"/>
        </w:rPr>
        <w:t xml:space="preserve"> </w:t>
      </w:r>
    </w:p>
    <w:p w:rsidR="00024DA9" w:rsidRDefault="00024DA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Profesor Titular en Geografía I y del Posgrado del Centro de Estudios de Relaciones Internacionales (</w:t>
      </w:r>
      <w:r>
        <w:rPr>
          <w:sz w:val="24"/>
          <w:szCs w:val="24"/>
        </w:rPr>
        <w:t>Universidad Nacional de Rosario, Argentina)</w:t>
      </w:r>
    </w:p>
    <w:p w:rsidR="00024DA9" w:rsidRDefault="00024DA9">
      <w:pPr>
        <w:spacing w:line="240" w:lineRule="auto"/>
        <w:jc w:val="both"/>
        <w:rPr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sz w:val="24"/>
          <w:szCs w:val="24"/>
        </w:rPr>
      </w:pPr>
    </w:p>
    <w:p w:rsidR="00024DA9" w:rsidRDefault="00024DA9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F2149E">
      <w:pPr>
        <w:spacing w:line="240" w:lineRule="auto"/>
        <w:jc w:val="both"/>
        <w:rPr>
          <w:sz w:val="28"/>
          <w:szCs w:val="28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:rsidR="009260CE" w:rsidRPr="009260CE" w:rsidRDefault="009260CE" w:rsidP="009260CE">
      <w:pPr>
        <w:pStyle w:val="HTMLconformatoprevio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9260CE">
        <w:rPr>
          <w:rFonts w:asciiTheme="majorHAnsi" w:hAnsiTheme="majorHAnsi" w:cstheme="majorHAnsi"/>
          <w:sz w:val="24"/>
          <w:szCs w:val="24"/>
        </w:rPr>
        <w:t xml:space="preserve"> </w:t>
      </w:r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La política económica es una de las dinámicas centrales y sustanciales de la integración económica europea como americana. Su diagramación, producto de una articulación y disputa entre el mercado y el Estado es parte de una trayectoria de acción de actores económicos, públicos y partidarios que presionan al interior de sus sociedades nacionales, como sobre otras economías. La </w:t>
      </w:r>
      <w:proofErr w:type="spellStart"/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>financierización</w:t>
      </w:r>
      <w:proofErr w:type="spellEnd"/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 y transnacionalización empresarial y económica se desarrolla de manera diferencial ante cada una de las economías y bloques de integración. </w:t>
      </w:r>
    </w:p>
    <w:p w:rsidR="009260CE" w:rsidRPr="009260CE" w:rsidRDefault="009260CE" w:rsidP="009260CE">
      <w:pPr>
        <w:pStyle w:val="HTMLconformatoprevio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>La conformación de estos bloques de integración en Europa (Comunidad Europea en 1993 [proceso que se inicia en 1957]), como en América (CARICOM, 1973; MERCOSUR, 1991; NAFTA, 1992; SICA, 1991; UNASUR, 2008; CELAC, 2010) dan cuenta de procesos económicos que buscan articular potencialidades y limitar los efectos más negativos de la globalización. Pese a ello, la articulación entre lo regional, lo nacional y lo transnacional –sumado a ello, las diversas geometrías del poder- abre conflictos inusitados y tensiones que lleva a los actores económicos, estatales y políticos a exigir reformulaciones de los bloques o la disolución de los mismos. En este sentido, la política económica se encuentra en el centro de la escena de la toma de decisiones políticas, de las dinámicas estatales y empresariales.</w:t>
      </w:r>
    </w:p>
    <w:p w:rsidR="009260CE" w:rsidRPr="009260CE" w:rsidRDefault="009260CE" w:rsidP="009260CE">
      <w:pPr>
        <w:pStyle w:val="HTMLconformatoprevio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Los procesos globales, los intentos de proteccionismo y el libre mercado son dimensiones que atraviesan –a ambos lados del Atlántico- los diversos bloques de integración, como las propuesta de partidos y empresarios nacional, </w:t>
      </w:r>
      <w:proofErr w:type="spellStart"/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>transregionales</w:t>
      </w:r>
      <w:proofErr w:type="spellEnd"/>
      <w:r w:rsidRPr="009260CE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 o transnacionales.</w:t>
      </w:r>
    </w:p>
    <w:p w:rsidR="000A237F" w:rsidRPr="009260CE" w:rsidRDefault="000A237F" w:rsidP="000A237F">
      <w:pPr>
        <w:jc w:val="both"/>
        <w:rPr>
          <w:sz w:val="24"/>
          <w:szCs w:val="24"/>
          <w:lang w:val="es-ES"/>
        </w:rPr>
      </w:pP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F90C91" w:rsidRPr="00F90C91" w:rsidRDefault="00F90C91" w:rsidP="00F90C91">
      <w:pPr>
        <w:pStyle w:val="HTMLconformatoprevio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>Que los y las estudiantes:</w:t>
      </w:r>
    </w:p>
    <w:p w:rsidR="00F90C91" w:rsidRPr="00F90C91" w:rsidRDefault="00F90C91" w:rsidP="00F90C91">
      <w:pPr>
        <w:pStyle w:val="HTMLconformatoprevio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</w:p>
    <w:p w:rsidR="00F90C91" w:rsidRDefault="00F90C91" w:rsidP="00F90C91">
      <w:pPr>
        <w:pStyle w:val="HTMLconformatoprevio"/>
        <w:numPr>
          <w:ilvl w:val="0"/>
          <w:numId w:val="6"/>
        </w:numPr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Comprendan las herramientas esenciales de la estructura de la economía mundial contemporánea. </w:t>
      </w:r>
    </w:p>
    <w:p w:rsidR="00F90C91" w:rsidRPr="00F90C91" w:rsidRDefault="00F90C91" w:rsidP="00F90C91">
      <w:pPr>
        <w:pStyle w:val="HTMLconformatoprevio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</w:p>
    <w:p w:rsidR="00F90C91" w:rsidRPr="00F90C91" w:rsidRDefault="00F90C91" w:rsidP="00CB7ACA">
      <w:pPr>
        <w:pStyle w:val="HTMLconformatoprevio"/>
        <w:numPr>
          <w:ilvl w:val="0"/>
          <w:numId w:val="6"/>
        </w:numPr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>Entiendan y utilicen los conceptos básicos relativos al funcionamiento de las dos instituciones fundamentales de la política económica: mercado y estado.</w:t>
      </w:r>
    </w:p>
    <w:p w:rsidR="00F90C91" w:rsidRPr="00F90C91" w:rsidRDefault="00F90C91" w:rsidP="00F90C91">
      <w:pPr>
        <w:pStyle w:val="HTMLconformatoprevio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</w:p>
    <w:p w:rsidR="00F90C91" w:rsidRDefault="00F90C91" w:rsidP="00F90C91">
      <w:pPr>
        <w:pStyle w:val="HTMLconformatoprevio"/>
        <w:numPr>
          <w:ilvl w:val="0"/>
          <w:numId w:val="6"/>
        </w:numPr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>Reconozcan las características de la fase actual de las relaciones económicas internacionales, en las cuales se entrelazan los fenómenos de la globalización con las experiencias de regionalismo, o incluso directrices autárquicas.</w:t>
      </w:r>
    </w:p>
    <w:p w:rsidR="00F90C91" w:rsidRPr="00F90C91" w:rsidRDefault="00F90C91" w:rsidP="00F90C91">
      <w:pPr>
        <w:pStyle w:val="HTMLconformatoprevio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</w:p>
    <w:p w:rsidR="00F90C91" w:rsidRPr="00F90C91" w:rsidRDefault="00F90C91" w:rsidP="00175928">
      <w:pPr>
        <w:pStyle w:val="HTMLconformatoprevio"/>
        <w:numPr>
          <w:ilvl w:val="0"/>
          <w:numId w:val="6"/>
        </w:numPr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>Consideren para sus análisis las dos grandes experiencias de regionalismo: la Unión Europea, como un intento de poner en práctica un área monetaria óptima y el Mercosur, como una búsqueda de instituciones regionales para algunos países de América del Sur.</w:t>
      </w:r>
    </w:p>
    <w:p w:rsidR="00F90C91" w:rsidRPr="00F90C91" w:rsidRDefault="00F90C91" w:rsidP="00F90C91">
      <w:pPr>
        <w:pStyle w:val="HTMLconformatoprevio"/>
        <w:ind w:left="720"/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</w:p>
    <w:p w:rsidR="00F90C91" w:rsidRPr="00F90C91" w:rsidRDefault="00F90C91" w:rsidP="00F90C91">
      <w:pPr>
        <w:pStyle w:val="HTMLconformatoprevio"/>
        <w:numPr>
          <w:ilvl w:val="0"/>
          <w:numId w:val="6"/>
        </w:numPr>
        <w:jc w:val="both"/>
        <w:rPr>
          <w:rFonts w:asciiTheme="majorHAnsi" w:hAnsiTheme="majorHAnsi" w:cstheme="majorHAnsi"/>
          <w:color w:val="222222"/>
          <w:sz w:val="24"/>
          <w:szCs w:val="24"/>
          <w:lang w:val="es-ES"/>
        </w:rPr>
      </w:pPr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Conozcan las estrategias nacionales que introducen el proteccionismo y el </w:t>
      </w:r>
      <w:proofErr w:type="spellStart"/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>libremercado</w:t>
      </w:r>
      <w:proofErr w:type="spellEnd"/>
      <w:r w:rsidRPr="00F90C91">
        <w:rPr>
          <w:rFonts w:asciiTheme="majorHAnsi" w:hAnsiTheme="majorHAnsi" w:cstheme="majorHAnsi"/>
          <w:color w:val="222222"/>
          <w:sz w:val="24"/>
          <w:szCs w:val="24"/>
          <w:lang w:val="es-ES"/>
        </w:rPr>
        <w:t xml:space="preserve"> en el centro de sus ofertas económicas.</w:t>
      </w:r>
    </w:p>
    <w:p w:rsidR="00F90C91" w:rsidRPr="00402A49" w:rsidRDefault="00F90C91" w:rsidP="00F90C91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F90C91" w:rsidRPr="00F90C91" w:rsidRDefault="00F90C91">
      <w:pPr>
        <w:spacing w:line="240" w:lineRule="auto"/>
        <w:jc w:val="both"/>
        <w:rPr>
          <w:b/>
          <w:sz w:val="28"/>
          <w:szCs w:val="28"/>
          <w:lang w:val="es-ES"/>
        </w:rPr>
      </w:pPr>
    </w:p>
    <w:p w:rsidR="000A237F" w:rsidRPr="00E92FF1" w:rsidRDefault="000A237F" w:rsidP="00F90C91">
      <w:pPr>
        <w:pStyle w:val="Prrafodelista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:rsidR="003D3737" w:rsidRDefault="003D3737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>Unidad 1</w:t>
      </w: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>C</w:t>
      </w:r>
      <w:r w:rsidRPr="00F90C91">
        <w:rPr>
          <w:sz w:val="24"/>
          <w:szCs w:val="24"/>
        </w:rPr>
        <w:t xml:space="preserve">onceptos históricos y teóricos sobre economía internacional. Regionalismo, multilateralismo y globalización. </w:t>
      </w:r>
      <w:r>
        <w:rPr>
          <w:sz w:val="24"/>
          <w:szCs w:val="24"/>
        </w:rPr>
        <w:t>Una perspectiva global.</w:t>
      </w:r>
    </w:p>
    <w:p w:rsid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 xml:space="preserve">Unidad 2 </w:t>
      </w: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 xml:space="preserve">Internacionalización del mercado y del estado: empresas multinacionales e instituciones internacionales. Las instituciones y su base regional. </w:t>
      </w:r>
      <w:proofErr w:type="spellStart"/>
      <w:r w:rsidRPr="00F90C91">
        <w:rPr>
          <w:sz w:val="24"/>
          <w:szCs w:val="24"/>
        </w:rPr>
        <w:t>Libremercado</w:t>
      </w:r>
      <w:proofErr w:type="spellEnd"/>
      <w:r w:rsidRPr="00F90C91">
        <w:rPr>
          <w:sz w:val="24"/>
          <w:szCs w:val="24"/>
        </w:rPr>
        <w:t xml:space="preserve"> y proteccionismo: la discusión contemporánea. </w:t>
      </w:r>
      <w:r>
        <w:rPr>
          <w:sz w:val="24"/>
          <w:szCs w:val="24"/>
        </w:rPr>
        <w:t>Tensiones entre grandes y pequeños jugadores.</w:t>
      </w:r>
    </w:p>
    <w:p w:rsid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>Unidad 3</w:t>
      </w: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 xml:space="preserve">La Unión Europea y la economía global. Política económica europea y de la zona del euro. Ganadores y perdedores en las últimas décadas. </w:t>
      </w:r>
      <w:r>
        <w:rPr>
          <w:sz w:val="24"/>
          <w:szCs w:val="24"/>
        </w:rPr>
        <w:t xml:space="preserve">La troika económica, el Banco Central Europeo y las deudas. </w:t>
      </w:r>
      <w:r w:rsidRPr="00F90C91">
        <w:rPr>
          <w:sz w:val="24"/>
          <w:szCs w:val="24"/>
        </w:rPr>
        <w:t>El caso Griego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y caída económica. </w:t>
      </w:r>
      <w:r w:rsidRPr="00F90C91">
        <w:rPr>
          <w:sz w:val="24"/>
          <w:szCs w:val="24"/>
        </w:rPr>
        <w:t xml:space="preserve"> </w:t>
      </w:r>
    </w:p>
    <w:p w:rsid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>Unidad 4</w:t>
      </w: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 xml:space="preserve">Política económica de los Estados Unidos, México y Canadá. </w:t>
      </w:r>
      <w:r>
        <w:rPr>
          <w:sz w:val="24"/>
          <w:szCs w:val="24"/>
        </w:rPr>
        <w:t xml:space="preserve">Del NAFTA al debate entre D. </w:t>
      </w:r>
      <w:proofErr w:type="spellStart"/>
      <w:r>
        <w:rPr>
          <w:sz w:val="24"/>
          <w:szCs w:val="24"/>
        </w:rPr>
        <w:t>Trump</w:t>
      </w:r>
      <w:proofErr w:type="spellEnd"/>
      <w:r>
        <w:rPr>
          <w:sz w:val="24"/>
          <w:szCs w:val="24"/>
        </w:rPr>
        <w:t xml:space="preserve">, AMLO y J. </w:t>
      </w:r>
      <w:proofErr w:type="spellStart"/>
      <w:r>
        <w:rPr>
          <w:sz w:val="24"/>
          <w:szCs w:val="24"/>
        </w:rPr>
        <w:t>Trudeau</w:t>
      </w:r>
      <w:proofErr w:type="spellEnd"/>
      <w:r>
        <w:rPr>
          <w:sz w:val="24"/>
          <w:szCs w:val="24"/>
        </w:rPr>
        <w:t xml:space="preserve">. </w:t>
      </w:r>
      <w:r w:rsidRPr="00F90C91">
        <w:rPr>
          <w:sz w:val="24"/>
          <w:szCs w:val="24"/>
        </w:rPr>
        <w:t xml:space="preserve">El tratado de libre comercio y los dilemas a ambos lados del Rio Bravo. </w:t>
      </w:r>
      <w:r>
        <w:rPr>
          <w:sz w:val="24"/>
          <w:szCs w:val="24"/>
        </w:rPr>
        <w:t>Situación actual. Covid19 y economías del norte.</w:t>
      </w:r>
    </w:p>
    <w:p w:rsid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>Unidad 5</w:t>
      </w: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 xml:space="preserve"> Integración económica regional en América Latina. La experiencia del Mercosur, la Alianza para el Pacifico. Etc. </w:t>
      </w:r>
      <w:r>
        <w:rPr>
          <w:sz w:val="24"/>
          <w:szCs w:val="24"/>
        </w:rPr>
        <w:t>Mercosur y los tratados de libre comercio. Declive de la economía latinoamericana y el covid19.</w:t>
      </w:r>
    </w:p>
    <w:p w:rsid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</w:p>
    <w:p w:rsidR="00F90C91" w:rsidRPr="00F90C91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lastRenderedPageBreak/>
        <w:t xml:space="preserve">Unidad </w:t>
      </w:r>
      <w:r w:rsidRPr="00F90C91">
        <w:rPr>
          <w:sz w:val="24"/>
          <w:szCs w:val="24"/>
        </w:rPr>
        <w:t>6</w:t>
      </w:r>
    </w:p>
    <w:p w:rsidR="000A237F" w:rsidRDefault="00F90C91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 w:rsidRPr="00F90C91">
        <w:rPr>
          <w:sz w:val="24"/>
          <w:szCs w:val="24"/>
        </w:rPr>
        <w:t>Los proyectos económicos de Rusia y China y sus impactos en Europa, Amér</w:t>
      </w:r>
      <w:r>
        <w:rPr>
          <w:sz w:val="24"/>
          <w:szCs w:val="24"/>
        </w:rPr>
        <w:t>ica Latina y los Estados Unidos. Las economías mundiales frente a la pandemia. Perspectivas y horizontes posibles.</w:t>
      </w:r>
    </w:p>
    <w:p w:rsidR="00E72B6C" w:rsidRDefault="00F90C91" w:rsidP="00E72B6C">
      <w:pPr>
        <w:jc w:val="both"/>
      </w:pPr>
      <w:r>
        <w:t xml:space="preserve"> 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</w:t>
      </w:r>
    </w:p>
    <w:p w:rsidR="00F2149E" w:rsidRDefault="00F2149E">
      <w:pPr>
        <w:spacing w:line="240" w:lineRule="auto"/>
        <w:jc w:val="both"/>
        <w:rPr>
          <w:sz w:val="24"/>
          <w:szCs w:val="24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lang w:eastAsia="it-IT"/>
        </w:rPr>
      </w:pPr>
      <w:r w:rsidRPr="008E3543">
        <w:rPr>
          <w:rFonts w:asciiTheme="majorHAnsi" w:hAnsiTheme="majorHAnsi" w:cstheme="majorHAnsi"/>
          <w:sz w:val="24"/>
          <w:shd w:val="clear" w:color="auto" w:fill="FFFFFF"/>
          <w:lang w:val="it-IT"/>
        </w:rPr>
        <w:t xml:space="preserve"> </w:t>
      </w:r>
      <w:r w:rsidRPr="00AF75EC">
        <w:rPr>
          <w:rFonts w:asciiTheme="majorHAnsi" w:hAnsiTheme="majorHAnsi" w:cstheme="majorHAnsi"/>
          <w:sz w:val="24"/>
          <w:lang w:val="it-IT" w:eastAsia="it-IT"/>
        </w:rPr>
        <w:t xml:space="preserve">Acocella, Nicola. 2018. </w:t>
      </w:r>
      <w:r w:rsidRPr="00AF75EC">
        <w:rPr>
          <w:rFonts w:asciiTheme="majorHAnsi" w:hAnsiTheme="majorHAnsi" w:cstheme="majorHAnsi"/>
          <w:i/>
          <w:sz w:val="24"/>
          <w:lang w:val="it-IT" w:eastAsia="it-IT"/>
        </w:rPr>
        <w:t>Politica economica e strategie aziendali</w:t>
      </w:r>
      <w:r w:rsidRPr="00AF75EC">
        <w:rPr>
          <w:rFonts w:asciiTheme="majorHAnsi" w:hAnsiTheme="majorHAnsi" w:cstheme="majorHAnsi"/>
          <w:sz w:val="24"/>
          <w:lang w:val="it-IT" w:eastAsia="it-IT"/>
        </w:rPr>
        <w:t xml:space="preserve">. </w:t>
      </w:r>
      <w:r w:rsidRPr="00AF75EC">
        <w:rPr>
          <w:rFonts w:asciiTheme="majorHAnsi" w:hAnsiTheme="majorHAnsi" w:cstheme="majorHAnsi"/>
          <w:sz w:val="24"/>
          <w:lang w:eastAsia="it-IT"/>
        </w:rPr>
        <w:t xml:space="preserve">Roma: </w:t>
      </w:r>
      <w:proofErr w:type="spellStart"/>
      <w:r w:rsidRPr="00AF75EC">
        <w:rPr>
          <w:rFonts w:asciiTheme="majorHAnsi" w:hAnsiTheme="majorHAnsi" w:cstheme="majorHAnsi"/>
          <w:sz w:val="24"/>
          <w:lang w:eastAsia="it-IT"/>
        </w:rPr>
        <w:t>Carocci</w:t>
      </w:r>
      <w:proofErr w:type="spellEnd"/>
      <w:r w:rsidRPr="00AF75EC">
        <w:rPr>
          <w:rFonts w:asciiTheme="majorHAnsi" w:hAnsiTheme="majorHAnsi" w:cstheme="majorHAnsi"/>
          <w:sz w:val="24"/>
          <w:lang w:eastAsia="it-IT"/>
        </w:rPr>
        <w:t>.</w:t>
      </w:r>
    </w:p>
    <w:p w:rsidR="008E3543" w:rsidRPr="00AF75EC" w:rsidRDefault="008E3543" w:rsidP="008E3543">
      <w:pPr>
        <w:pStyle w:val="Textoindependiente"/>
        <w:spacing w:after="0" w:line="240" w:lineRule="auto"/>
        <w:ind w:left="720"/>
        <w:rPr>
          <w:rFonts w:asciiTheme="majorHAnsi" w:hAnsiTheme="majorHAnsi" w:cstheme="majorHAnsi"/>
          <w:sz w:val="24"/>
          <w:lang w:eastAsia="it-IT"/>
        </w:rPr>
      </w:pPr>
    </w:p>
    <w:p w:rsidR="008E3543" w:rsidRPr="00AF75EC" w:rsidRDefault="008E3543" w:rsidP="008E3543">
      <w:pPr>
        <w:jc w:val="both"/>
        <w:rPr>
          <w:rFonts w:asciiTheme="majorHAnsi" w:hAnsiTheme="majorHAnsi" w:cstheme="majorHAnsi"/>
          <w:color w:val="333333"/>
          <w:sz w:val="24"/>
          <w:szCs w:val="24"/>
        </w:rPr>
      </w:pPr>
      <w:proofErr w:type="spellStart"/>
      <w:r w:rsidRPr="00AF75EC">
        <w:rPr>
          <w:rFonts w:asciiTheme="majorHAnsi" w:hAnsiTheme="majorHAnsi" w:cstheme="majorHAnsi"/>
          <w:sz w:val="24"/>
          <w:szCs w:val="24"/>
        </w:rPr>
        <w:t>Anton-Mellon</w:t>
      </w:r>
      <w:proofErr w:type="spellEnd"/>
      <w:r w:rsidRPr="00AF75EC">
        <w:rPr>
          <w:rFonts w:asciiTheme="majorHAnsi" w:hAnsiTheme="majorHAnsi" w:cstheme="majorHAnsi"/>
          <w:sz w:val="24"/>
          <w:szCs w:val="24"/>
        </w:rPr>
        <w:t xml:space="preserve">, J.; </w:t>
      </w:r>
      <w:proofErr w:type="spellStart"/>
      <w:r w:rsidRPr="00AF75EC">
        <w:rPr>
          <w:rFonts w:asciiTheme="majorHAnsi" w:hAnsiTheme="majorHAnsi" w:cstheme="majorHAnsi"/>
          <w:sz w:val="24"/>
          <w:szCs w:val="24"/>
        </w:rPr>
        <w:t>Hernandez-Carr</w:t>
      </w:r>
      <w:proofErr w:type="spellEnd"/>
      <w:r w:rsidRPr="00AF75EC">
        <w:rPr>
          <w:rFonts w:asciiTheme="majorHAnsi" w:hAnsiTheme="majorHAnsi" w:cstheme="majorHAnsi"/>
          <w:sz w:val="24"/>
          <w:szCs w:val="24"/>
        </w:rPr>
        <w:t xml:space="preserve">, A. “El crecimiento electoral de la derecha radical populista en Europa: parámetros ideológicos y motivaciones sociales”, Revista </w:t>
      </w:r>
      <w:r w:rsidRPr="00AF75EC">
        <w:rPr>
          <w:rFonts w:asciiTheme="majorHAnsi" w:hAnsiTheme="majorHAnsi" w:cstheme="majorHAnsi"/>
          <w:color w:val="333333"/>
          <w:sz w:val="24"/>
          <w:szCs w:val="24"/>
        </w:rPr>
        <w:t xml:space="preserve">Política y Sociedad, 2016, vol. 1, </w:t>
      </w:r>
      <w:proofErr w:type="spellStart"/>
      <w:r w:rsidRPr="00AF75EC">
        <w:rPr>
          <w:rFonts w:asciiTheme="majorHAnsi" w:hAnsiTheme="majorHAnsi" w:cstheme="majorHAnsi"/>
          <w:color w:val="333333"/>
          <w:sz w:val="24"/>
          <w:szCs w:val="24"/>
        </w:rPr>
        <w:t>num</w:t>
      </w:r>
      <w:proofErr w:type="spellEnd"/>
      <w:r w:rsidRPr="00AF75EC">
        <w:rPr>
          <w:rFonts w:asciiTheme="majorHAnsi" w:hAnsiTheme="majorHAnsi" w:cstheme="majorHAnsi"/>
          <w:color w:val="333333"/>
          <w:sz w:val="24"/>
          <w:szCs w:val="24"/>
        </w:rPr>
        <w:t xml:space="preserve">. 53, p. 17-28 DOI: </w:t>
      </w:r>
      <w:hyperlink r:id="rId8" w:history="1">
        <w:r w:rsidRPr="00AF75EC">
          <w:rPr>
            <w:rStyle w:val="Hipervnculo"/>
            <w:rFonts w:asciiTheme="majorHAnsi" w:hAnsiTheme="majorHAnsi" w:cstheme="majorHAnsi"/>
            <w:sz w:val="24"/>
            <w:szCs w:val="24"/>
          </w:rPr>
          <w:t>https://doi.org/10.5209/rev_POSO.2016.v53.n1.48456</w:t>
        </w:r>
      </w:hyperlink>
      <w:r w:rsidRPr="00AF75EC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:rsidR="008E3543" w:rsidRPr="00AF75EC" w:rsidRDefault="008E3543" w:rsidP="008E354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Barbé, E (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ed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). 2014. </w:t>
      </w:r>
      <w:r w:rsidRPr="00AF75EC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La Unión Europea en las relaciones internacionales</w:t>
      </w: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Madrid: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Tecnos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Introducción y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Cap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1.</w:t>
      </w:r>
    </w:p>
    <w:p w:rsidR="008E3543" w:rsidRPr="00AF75EC" w:rsidRDefault="008E3543" w:rsidP="008E3543">
      <w:pPr>
        <w:pStyle w:val="Formatoprogramabibliografa1"/>
        <w:ind w:left="720" w:firstLine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8E3543" w:rsidRPr="00AF75EC" w:rsidRDefault="008E3543" w:rsidP="008E3543">
      <w:pPr>
        <w:pStyle w:val="Formatoprogramabibliografa1"/>
        <w:ind w:left="0" w:firstLine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Beck, U. 2012. Una Europa Alemana. Buenos Aires: Paidós.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Cap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1 y 2. </w:t>
      </w:r>
    </w:p>
    <w:p w:rsidR="008E3543" w:rsidRPr="00AF75EC" w:rsidRDefault="008E3543" w:rsidP="008E3543">
      <w:pPr>
        <w:pStyle w:val="Formatoprogramabibliografa1"/>
        <w:ind w:left="0" w:firstLine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8E3543" w:rsidRPr="00AF75EC" w:rsidRDefault="008E3543" w:rsidP="008E3543">
      <w:pPr>
        <w:pStyle w:val="Formatoprogramabibliografa1"/>
        <w:ind w:left="0" w:firstLine="0"/>
        <w:rPr>
          <w:rFonts w:asciiTheme="majorHAnsi" w:hAnsiTheme="majorHAnsi" w:cstheme="majorHAnsi"/>
          <w:sz w:val="24"/>
          <w:szCs w:val="24"/>
        </w:rPr>
      </w:pPr>
      <w:proofErr w:type="spellStart"/>
      <w:r w:rsidRPr="00AF75EC">
        <w:rPr>
          <w:rFonts w:asciiTheme="majorHAnsi" w:hAnsiTheme="majorHAnsi" w:cstheme="majorHAnsi"/>
          <w:sz w:val="24"/>
          <w:szCs w:val="24"/>
        </w:rPr>
        <w:t>Bejar</w:t>
      </w:r>
      <w:proofErr w:type="spellEnd"/>
      <w:r w:rsidRPr="00AF75EC">
        <w:rPr>
          <w:rFonts w:asciiTheme="majorHAnsi" w:hAnsiTheme="majorHAnsi" w:cstheme="majorHAnsi"/>
          <w:sz w:val="24"/>
          <w:szCs w:val="24"/>
        </w:rPr>
        <w:t xml:space="preserve">, M. 2011. Historia del siglo XX: Europa, América, Asia, África y Oceanía. Buenos Aires: Siglo XXI. </w:t>
      </w:r>
    </w:p>
    <w:p w:rsidR="008E3543" w:rsidRPr="00AF75EC" w:rsidRDefault="008E3543" w:rsidP="008E3543">
      <w:pPr>
        <w:pStyle w:val="Formatoprogramabibliografa1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8E3543" w:rsidRPr="00AF75EC" w:rsidRDefault="008E3543" w:rsidP="008E3543">
      <w:pPr>
        <w:pStyle w:val="Formatoprogramabibliografa1"/>
        <w:ind w:left="0" w:firstLine="0"/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</w:pP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Bouzas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 xml:space="preserve"> R. 2004</w:t>
      </w:r>
      <w:r w:rsidRPr="00AF75EC">
        <w:rPr>
          <w:rFonts w:asciiTheme="majorHAnsi" w:hAnsiTheme="majorHAnsi" w:cstheme="majorHAnsi"/>
          <w:sz w:val="24"/>
          <w:szCs w:val="24"/>
        </w:rPr>
        <w:t xml:space="preserve"> </w:t>
      </w: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 xml:space="preserve">“Las negociaciones Unión Europea-Mercosur. Entre la lentitud y la indefinición” Revista Nueva Sociedad 190.  </w:t>
      </w:r>
      <w:hyperlink r:id="rId9" w:history="1">
        <w:r w:rsidRPr="00AF75EC">
          <w:rPr>
            <w:rStyle w:val="Hipervnculo"/>
            <w:rFonts w:asciiTheme="majorHAnsi" w:hAnsiTheme="majorHAnsi" w:cstheme="majorHAnsi"/>
            <w:sz w:val="24"/>
            <w:szCs w:val="24"/>
            <w:shd w:val="clear" w:color="auto" w:fill="FFFFFF"/>
            <w:lang w:val="es-ES"/>
          </w:rPr>
          <w:t>http://nuso.org/media/articles/downloads/3189_1.pdf</w:t>
        </w:r>
      </w:hyperlink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 xml:space="preserve"> </w:t>
      </w:r>
    </w:p>
    <w:p w:rsidR="008E3543" w:rsidRPr="00AF75EC" w:rsidRDefault="008E3543" w:rsidP="008E3543">
      <w:pPr>
        <w:pStyle w:val="Prrafodelista"/>
        <w:jc w:val="both"/>
        <w:rPr>
          <w:rFonts w:asciiTheme="majorHAnsi" w:hAnsiTheme="majorHAnsi" w:cstheme="majorHAnsi"/>
          <w:shd w:val="clear" w:color="auto" w:fill="FFFFFF"/>
        </w:rPr>
      </w:pPr>
    </w:p>
    <w:p w:rsidR="008E3543" w:rsidRPr="00AF75EC" w:rsidRDefault="008E3543" w:rsidP="008E3543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AF75EC">
        <w:rPr>
          <w:rFonts w:asciiTheme="majorHAnsi" w:hAnsiTheme="majorHAnsi" w:cstheme="majorHAnsi"/>
          <w:sz w:val="24"/>
          <w:szCs w:val="24"/>
        </w:rPr>
        <w:t xml:space="preserve">Briceño-Ruiz, José. </w:t>
      </w:r>
      <w:r w:rsidRPr="00AF75EC">
        <w:rPr>
          <w:rFonts w:asciiTheme="majorHAnsi" w:hAnsiTheme="majorHAnsi" w:cstheme="majorHAnsi"/>
          <w:sz w:val="24"/>
          <w:szCs w:val="24"/>
          <w:lang w:val="en-GB"/>
        </w:rPr>
        <w:t xml:space="preserve">“The Caribbean: Regional Unity in a Context of Diversity”. En Rivarola </w:t>
      </w:r>
      <w:r w:rsidRPr="00AF75EC">
        <w:rPr>
          <w:rFonts w:asciiTheme="majorHAnsi" w:hAnsiTheme="majorHAnsi" w:cstheme="majorHAnsi"/>
          <w:sz w:val="24"/>
          <w:szCs w:val="24"/>
          <w:lang w:val="en-US"/>
        </w:rPr>
        <w:t xml:space="preserve">Puntigliano, A.;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lang w:val="en-US"/>
        </w:rPr>
        <w:t>Briceño</w:t>
      </w:r>
      <w:proofErr w:type="spellEnd"/>
      <w:r w:rsidRPr="00AF75EC">
        <w:rPr>
          <w:rFonts w:asciiTheme="majorHAnsi" w:hAnsiTheme="majorHAnsi" w:cstheme="majorHAnsi"/>
          <w:sz w:val="24"/>
          <w:szCs w:val="24"/>
          <w:lang w:val="en-US"/>
        </w:rPr>
        <w:t xml:space="preserve">-Ruiz, J. (ed.) </w:t>
      </w:r>
      <w:r w:rsidRPr="00AF75EC">
        <w:rPr>
          <w:rFonts w:asciiTheme="majorHAnsi" w:hAnsiTheme="majorHAnsi" w:cstheme="majorHAnsi"/>
          <w:i/>
          <w:sz w:val="24"/>
          <w:szCs w:val="24"/>
          <w:lang w:val="en-GB"/>
        </w:rPr>
        <w:t>Resilience of Regionalism in Latin America and the Caribbean Development and Autonomy</w:t>
      </w:r>
      <w:r w:rsidRPr="00AF75EC">
        <w:rPr>
          <w:rFonts w:asciiTheme="majorHAnsi" w:hAnsiTheme="majorHAnsi" w:cstheme="majorHAnsi"/>
          <w:sz w:val="24"/>
          <w:szCs w:val="24"/>
          <w:lang w:val="en-GB"/>
        </w:rPr>
        <w:t xml:space="preserve">, International Political Economic Series, 2013. </w:t>
      </w:r>
    </w:p>
    <w:p w:rsidR="008E3543" w:rsidRPr="00AF75EC" w:rsidRDefault="008E3543" w:rsidP="008E3543">
      <w:pPr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8E3543" w:rsidRPr="00AF75EC" w:rsidRDefault="008E3543" w:rsidP="008E354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Consuelo, S. 2014. “Crisis de la integración europea y de la ‘Europa Global’:    Implicancias para América Latina”. </w:t>
      </w:r>
      <w:proofErr w:type="gram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En  Consuelo</w:t>
      </w:r>
      <w:proofErr w:type="gram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S.;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Martins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C. </w:t>
      </w:r>
      <w:r w:rsidRPr="00AF75EC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Nuevos Escenarios para la integración en América Latina</w:t>
      </w: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Buenos Aires: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Arcis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 </w:t>
      </w:r>
    </w:p>
    <w:p w:rsidR="008E3543" w:rsidRPr="00AF75EC" w:rsidRDefault="008E3543" w:rsidP="008E354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8E3543" w:rsidRPr="00AF75EC" w:rsidRDefault="008E3543" w:rsidP="008E354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De Gori, E.; Gómez, A; Ester, B. 2017. “Gobiernos progresistas en América Latina: cambios y permanencias tras un periodo de estabilidad”. En Sotillo, J.; </w:t>
      </w:r>
      <w:proofErr w:type="spellStart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>Ayllon</w:t>
      </w:r>
      <w:proofErr w:type="spellEnd"/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B. </w:t>
      </w:r>
      <w:r w:rsidRPr="00AF75EC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Las </w:t>
      </w:r>
      <w:r w:rsidRPr="00AF75EC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lastRenderedPageBreak/>
        <w:t>transformaciones de América Latina. Cambios políticos, socioeconómicos y protagonismo internacional</w:t>
      </w:r>
      <w:r w:rsidRPr="00AF75E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Madrid: La Catarata.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lang w:val="it-IT" w:eastAsia="it-IT"/>
        </w:rPr>
      </w:pPr>
      <w:bookmarkStart w:id="0" w:name="_GoBack"/>
      <w:bookmarkEnd w:id="0"/>
      <w:r w:rsidRPr="00AF75EC">
        <w:rPr>
          <w:rFonts w:asciiTheme="majorHAnsi" w:hAnsiTheme="majorHAnsi" w:cstheme="majorHAnsi"/>
          <w:sz w:val="24"/>
          <w:lang w:eastAsia="it-IT"/>
        </w:rPr>
        <w:t xml:space="preserve">De </w:t>
      </w:r>
      <w:proofErr w:type="spellStart"/>
      <w:r w:rsidRPr="00AF75EC">
        <w:rPr>
          <w:rFonts w:asciiTheme="majorHAnsi" w:hAnsiTheme="majorHAnsi" w:cstheme="majorHAnsi"/>
          <w:sz w:val="24"/>
          <w:lang w:eastAsia="it-IT"/>
        </w:rPr>
        <w:t>Grauwe</w:t>
      </w:r>
      <w:proofErr w:type="spellEnd"/>
      <w:r w:rsidRPr="00AF75EC">
        <w:rPr>
          <w:rFonts w:asciiTheme="majorHAnsi" w:hAnsiTheme="majorHAnsi" w:cstheme="majorHAnsi"/>
          <w:sz w:val="24"/>
          <w:lang w:eastAsia="it-IT"/>
        </w:rPr>
        <w:t xml:space="preserve">, Paul. 2016. </w:t>
      </w:r>
      <w:r w:rsidRPr="00AF75EC">
        <w:rPr>
          <w:rFonts w:asciiTheme="majorHAnsi" w:hAnsiTheme="majorHAnsi" w:cstheme="majorHAnsi"/>
          <w:i/>
          <w:sz w:val="24"/>
          <w:lang w:val="it-IT" w:eastAsia="it-IT"/>
        </w:rPr>
        <w:t>Economia dell’’Unione monetaria</w:t>
      </w:r>
      <w:r w:rsidRPr="00AF75EC">
        <w:rPr>
          <w:rFonts w:asciiTheme="majorHAnsi" w:hAnsiTheme="majorHAnsi" w:cstheme="majorHAnsi"/>
          <w:sz w:val="24"/>
          <w:lang w:val="it-IT" w:eastAsia="it-IT"/>
        </w:rPr>
        <w:t xml:space="preserve">. Bologna: Il Mulino.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lang w:val="it-IT" w:eastAsia="it-IT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  <w:lang w:val="it-IT"/>
        </w:rPr>
      </w:pPr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Gascón, D. 2018. “Fantasmas europeos”. Revista Nueva Sociedad. </w:t>
      </w:r>
      <w:hyperlink r:id="rId10" w:history="1">
        <w:r w:rsidRPr="00AF75EC">
          <w:rPr>
            <w:rStyle w:val="Hipervnculo"/>
            <w:rFonts w:asciiTheme="majorHAnsi" w:hAnsiTheme="majorHAnsi" w:cstheme="majorHAnsi"/>
            <w:sz w:val="24"/>
            <w:shd w:val="clear" w:color="auto" w:fill="FFFFFF"/>
            <w:lang w:val="it-IT"/>
          </w:rPr>
          <w:t>http://nuso.org/articulo/fantasmas-europeos/</w:t>
        </w:r>
      </w:hyperlink>
      <w:r w:rsidRPr="00AF75EC">
        <w:rPr>
          <w:rFonts w:asciiTheme="majorHAnsi" w:hAnsiTheme="majorHAnsi" w:cstheme="majorHAnsi"/>
          <w:sz w:val="24"/>
          <w:shd w:val="clear" w:color="auto" w:fill="FFFFFF"/>
          <w:lang w:val="it-IT"/>
        </w:rPr>
        <w:t xml:space="preserve">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  <w:lang w:val="it-IT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lang w:val="es-AR"/>
        </w:rPr>
      </w:pPr>
      <w:r w:rsidRPr="00AF75EC">
        <w:rPr>
          <w:rFonts w:asciiTheme="majorHAnsi" w:hAnsiTheme="majorHAnsi" w:cstheme="majorHAnsi"/>
          <w:sz w:val="24"/>
          <w:lang w:val="it-IT"/>
        </w:rPr>
        <w:t xml:space="preserve">Finizio, G.. Morelli, U.(eds.), 2015. </w:t>
      </w:r>
      <w:r w:rsidRPr="00AF75EC">
        <w:rPr>
          <w:rFonts w:asciiTheme="majorHAnsi" w:hAnsiTheme="majorHAnsi" w:cstheme="majorHAnsi"/>
          <w:i/>
          <w:sz w:val="24"/>
          <w:lang w:val="it-IT"/>
        </w:rPr>
        <w:t>L´Unione Europea nelle relazioni internacionali</w:t>
      </w:r>
      <w:r w:rsidRPr="00AF75EC">
        <w:rPr>
          <w:rFonts w:asciiTheme="majorHAnsi" w:hAnsiTheme="majorHAnsi" w:cstheme="majorHAnsi"/>
          <w:sz w:val="24"/>
          <w:lang w:val="it-IT"/>
        </w:rPr>
        <w:t xml:space="preserve">. </w:t>
      </w:r>
      <w:r w:rsidRPr="00AF75EC">
        <w:rPr>
          <w:rFonts w:asciiTheme="majorHAnsi" w:hAnsiTheme="majorHAnsi" w:cstheme="majorHAnsi"/>
          <w:sz w:val="24"/>
          <w:lang w:val="es-AR"/>
        </w:rPr>
        <w:t xml:space="preserve">Roma: </w:t>
      </w:r>
      <w:proofErr w:type="spellStart"/>
      <w:r w:rsidRPr="00AF75EC">
        <w:rPr>
          <w:rFonts w:asciiTheme="majorHAnsi" w:hAnsiTheme="majorHAnsi" w:cstheme="majorHAnsi"/>
          <w:sz w:val="24"/>
          <w:lang w:val="es-AR"/>
        </w:rPr>
        <w:t>Carocci</w:t>
      </w:r>
      <w:proofErr w:type="spellEnd"/>
      <w:r w:rsidRPr="00AF75EC">
        <w:rPr>
          <w:rFonts w:asciiTheme="majorHAnsi" w:hAnsiTheme="majorHAnsi" w:cstheme="majorHAnsi"/>
          <w:sz w:val="24"/>
          <w:lang w:val="es-AR"/>
        </w:rPr>
        <w:t>.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lang w:val="es-AR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Kissinger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, H. 2016. </w:t>
      </w:r>
      <w:r w:rsidRPr="00AF75EC">
        <w:rPr>
          <w:rFonts w:asciiTheme="majorHAnsi" w:hAnsiTheme="majorHAnsi" w:cstheme="majorHAnsi"/>
          <w:i/>
          <w:sz w:val="24"/>
          <w:shd w:val="clear" w:color="auto" w:fill="FFFFFF"/>
        </w:rPr>
        <w:t>Orden mundial. Reflexiones sobre el carácter de los países y el curso de la historia</w:t>
      </w:r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. Buenos Aires: Debate,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Cap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, 2.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Lagos, R. 2008. </w:t>
      </w:r>
      <w:r w:rsidRPr="00AF75EC">
        <w:rPr>
          <w:rFonts w:asciiTheme="majorHAnsi" w:hAnsiTheme="majorHAnsi" w:cstheme="majorHAnsi"/>
          <w:i/>
          <w:sz w:val="24"/>
          <w:shd w:val="clear" w:color="auto" w:fill="FFFFFF"/>
        </w:rPr>
        <w:t>América Latina: Integración o fragmentación</w:t>
      </w:r>
      <w:proofErr w:type="gramStart"/>
      <w:r w:rsidRPr="00AF75EC">
        <w:rPr>
          <w:rFonts w:asciiTheme="majorHAnsi" w:hAnsiTheme="majorHAnsi" w:cstheme="majorHAnsi"/>
          <w:i/>
          <w:sz w:val="24"/>
          <w:shd w:val="clear" w:color="auto" w:fill="FFFFFF"/>
        </w:rPr>
        <w:t>?</w:t>
      </w:r>
      <w:proofErr w:type="gram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  Buenos Aires: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Edhasa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>. Cuarta parte.</w:t>
      </w:r>
    </w:p>
    <w:p w:rsidR="008E3543" w:rsidRPr="00AF75EC" w:rsidRDefault="008E3543" w:rsidP="008E3543">
      <w:pPr>
        <w:pStyle w:val="Prrafodelista"/>
        <w:jc w:val="both"/>
        <w:rPr>
          <w:rFonts w:asciiTheme="majorHAnsi" w:hAnsiTheme="majorHAnsi" w:cstheme="majorHAnsi"/>
          <w:lang w:val="es-AR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lang w:val="en-US"/>
        </w:rPr>
      </w:pPr>
      <w:r w:rsidRPr="00AF75EC">
        <w:rPr>
          <w:rFonts w:asciiTheme="majorHAnsi" w:hAnsiTheme="majorHAnsi" w:cstheme="majorHAnsi"/>
          <w:bCs/>
          <w:sz w:val="24"/>
          <w:lang w:val="en-GB"/>
        </w:rPr>
        <w:t xml:space="preserve">Malamud, Andrés, “Overlapping Regionalism, No Integration: Conceptual Issues and the Latin American Experiences”, </w:t>
      </w:r>
      <w:r w:rsidRPr="00AF75EC">
        <w:rPr>
          <w:rFonts w:asciiTheme="majorHAnsi" w:hAnsiTheme="majorHAnsi" w:cstheme="majorHAnsi"/>
          <w:i/>
          <w:sz w:val="24"/>
          <w:lang w:val="en-US"/>
        </w:rPr>
        <w:t>EUI Working Paper</w:t>
      </w:r>
      <w:r w:rsidRPr="00AF75EC">
        <w:rPr>
          <w:rFonts w:asciiTheme="majorHAnsi" w:hAnsiTheme="majorHAnsi" w:cstheme="majorHAnsi"/>
          <w:sz w:val="24"/>
          <w:lang w:val="en-US"/>
        </w:rPr>
        <w:t xml:space="preserve"> RSCAS 2013/20, (2013), in </w:t>
      </w:r>
      <w:hyperlink r:id="rId11" w:history="1">
        <w:r w:rsidRPr="00AF75EC">
          <w:rPr>
            <w:rFonts w:asciiTheme="majorHAnsi" w:hAnsiTheme="majorHAnsi" w:cstheme="majorHAnsi"/>
            <w:color w:val="7030A0"/>
            <w:sz w:val="24"/>
            <w:lang w:val="en-GB"/>
          </w:rPr>
          <w:t>http://cadmus.eui.eu/bitstream/handle/1814/26336/RSCAS_2013_20.pdf?sequence=1&amp;isAllowed=y</w:t>
        </w:r>
      </w:hyperlink>
      <w:r w:rsidRPr="00AF75EC">
        <w:rPr>
          <w:rFonts w:asciiTheme="majorHAnsi" w:hAnsiTheme="majorHAnsi" w:cstheme="majorHAnsi"/>
          <w:sz w:val="24"/>
          <w:lang w:val="en-GB"/>
        </w:rPr>
        <w:t xml:space="preserve"> </w:t>
      </w:r>
    </w:p>
    <w:p w:rsidR="008E3543" w:rsidRPr="00AF75EC" w:rsidRDefault="008E3543" w:rsidP="008E3543">
      <w:pPr>
        <w:pStyle w:val="Prrafodelista"/>
        <w:jc w:val="both"/>
        <w:rPr>
          <w:rFonts w:asciiTheme="majorHAnsi" w:hAnsiTheme="majorHAnsi" w:cstheme="majorHAnsi"/>
          <w:lang w:val="en-US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</w:rPr>
      </w:pPr>
      <w:proofErr w:type="spellStart"/>
      <w:r w:rsidRPr="00AF75EC">
        <w:rPr>
          <w:rFonts w:asciiTheme="majorHAnsi" w:hAnsiTheme="majorHAnsi" w:cstheme="majorHAnsi"/>
          <w:sz w:val="24"/>
          <w:lang w:val="es-AR"/>
        </w:rPr>
        <w:t>Melitz</w:t>
      </w:r>
      <w:proofErr w:type="spellEnd"/>
      <w:r w:rsidRPr="00AF75EC">
        <w:rPr>
          <w:rFonts w:asciiTheme="majorHAnsi" w:hAnsiTheme="majorHAnsi" w:cstheme="majorHAnsi"/>
          <w:sz w:val="24"/>
          <w:lang w:val="es-AR"/>
        </w:rPr>
        <w:t xml:space="preserve">, J., </w:t>
      </w:r>
      <w:proofErr w:type="spellStart"/>
      <w:r w:rsidRPr="00AF75EC">
        <w:rPr>
          <w:rFonts w:asciiTheme="majorHAnsi" w:hAnsiTheme="majorHAnsi" w:cstheme="majorHAnsi"/>
          <w:sz w:val="24"/>
          <w:lang w:val="es-AR"/>
        </w:rPr>
        <w:t>Obstfeld</w:t>
      </w:r>
      <w:proofErr w:type="spellEnd"/>
      <w:r w:rsidRPr="00AF75EC">
        <w:rPr>
          <w:rFonts w:asciiTheme="majorHAnsi" w:hAnsiTheme="majorHAnsi" w:cstheme="majorHAnsi"/>
          <w:sz w:val="24"/>
          <w:lang w:val="es-AR"/>
        </w:rPr>
        <w:t xml:space="preserve">, M y </w:t>
      </w:r>
      <w:proofErr w:type="spellStart"/>
      <w:r w:rsidRPr="00AF75EC">
        <w:rPr>
          <w:rFonts w:asciiTheme="majorHAnsi" w:hAnsiTheme="majorHAnsi" w:cstheme="majorHAnsi"/>
          <w:sz w:val="24"/>
          <w:lang w:val="es-AR"/>
        </w:rPr>
        <w:t>Krugman</w:t>
      </w:r>
      <w:proofErr w:type="spellEnd"/>
      <w:r w:rsidRPr="00AF75EC">
        <w:rPr>
          <w:rFonts w:asciiTheme="majorHAnsi" w:hAnsiTheme="majorHAnsi" w:cstheme="majorHAnsi"/>
          <w:sz w:val="24"/>
          <w:lang w:val="es-AR"/>
        </w:rPr>
        <w:t xml:space="preserve">, P. 2016. </w:t>
      </w:r>
      <w:r w:rsidRPr="00AF75EC">
        <w:rPr>
          <w:rFonts w:asciiTheme="majorHAnsi" w:hAnsiTheme="majorHAnsi" w:cstheme="majorHAnsi"/>
          <w:i/>
          <w:sz w:val="24"/>
        </w:rPr>
        <w:t>Economía internacional. Teoría y política</w:t>
      </w:r>
      <w:r w:rsidRPr="00AF75EC">
        <w:rPr>
          <w:rFonts w:asciiTheme="majorHAnsi" w:hAnsiTheme="majorHAnsi" w:cstheme="majorHAnsi"/>
          <w:sz w:val="24"/>
        </w:rPr>
        <w:t xml:space="preserve">. Madrid: Pearson.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Optenhogel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, U. 2017. “La Unión Europea como actor global. Políticas de defensa, paz y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soft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power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” Revista Nueva Sociedad 270. </w:t>
      </w:r>
      <w:hyperlink r:id="rId12" w:history="1">
        <w:r w:rsidRPr="00AF75EC">
          <w:rPr>
            <w:rStyle w:val="Hipervnculo"/>
            <w:rFonts w:asciiTheme="majorHAnsi" w:hAnsiTheme="majorHAnsi" w:cstheme="majorHAnsi"/>
            <w:sz w:val="24"/>
            <w:shd w:val="clear" w:color="auto" w:fill="FFFFFF"/>
          </w:rPr>
          <w:t>http://nuso.org/articulo/la-union-europea-como-actor-global/</w:t>
        </w:r>
      </w:hyperlink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  <w:lang w:val="en-US"/>
        </w:rPr>
      </w:pPr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Russell, R.;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</w:rPr>
        <w:t>Arnson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</w:rPr>
        <w:t>, C</w:t>
      </w:r>
      <w:proofErr w:type="gramStart"/>
      <w:r w:rsidRPr="00AF75EC">
        <w:rPr>
          <w:rFonts w:asciiTheme="majorHAnsi" w:hAnsiTheme="majorHAnsi" w:cstheme="majorHAnsi"/>
          <w:sz w:val="24"/>
          <w:shd w:val="clear" w:color="auto" w:fill="FFFFFF"/>
        </w:rPr>
        <w:t>,;</w:t>
      </w:r>
      <w:proofErr w:type="gram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 Fernández de Castro, R. 2008. “Introducción”. En Lagos, R. </w:t>
      </w:r>
      <w:r w:rsidRPr="00AF75EC">
        <w:rPr>
          <w:rFonts w:asciiTheme="majorHAnsi" w:hAnsiTheme="majorHAnsi" w:cstheme="majorHAnsi"/>
          <w:i/>
          <w:sz w:val="24"/>
          <w:shd w:val="clear" w:color="auto" w:fill="FFFFFF"/>
        </w:rPr>
        <w:t>América Latina: Integración o fragmentación</w:t>
      </w:r>
      <w:proofErr w:type="gramStart"/>
      <w:r w:rsidRPr="00AF75EC">
        <w:rPr>
          <w:rFonts w:asciiTheme="majorHAnsi" w:hAnsiTheme="majorHAnsi" w:cstheme="majorHAnsi"/>
          <w:i/>
          <w:sz w:val="24"/>
          <w:shd w:val="clear" w:color="auto" w:fill="FFFFFF"/>
        </w:rPr>
        <w:t>?</w:t>
      </w:r>
      <w:proofErr w:type="gramEnd"/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  </w:t>
      </w:r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t xml:space="preserve">Buenos Aires: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t>Edhasa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t xml:space="preserve">.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  <w:lang w:val="en-US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Style w:val="Hipervnculo"/>
          <w:rFonts w:asciiTheme="majorHAnsi" w:hAnsiTheme="majorHAnsi" w:cstheme="majorHAnsi"/>
          <w:sz w:val="24"/>
          <w:lang w:val="en-GB"/>
        </w:rPr>
      </w:pPr>
      <w:proofErr w:type="spellStart"/>
      <w:r w:rsidRPr="00AF75EC">
        <w:rPr>
          <w:rFonts w:asciiTheme="majorHAnsi" w:hAnsiTheme="majorHAnsi" w:cstheme="majorHAnsi"/>
          <w:sz w:val="24"/>
          <w:lang w:val="en-GB"/>
        </w:rPr>
        <w:t>Stiglitz</w:t>
      </w:r>
      <w:proofErr w:type="spellEnd"/>
      <w:r w:rsidRPr="00AF75EC">
        <w:rPr>
          <w:rFonts w:asciiTheme="majorHAnsi" w:hAnsiTheme="majorHAnsi" w:cstheme="majorHAnsi"/>
          <w:sz w:val="24"/>
          <w:lang w:val="en-GB"/>
        </w:rPr>
        <w:t xml:space="preserve">, Joseph, “In 2016, let's hope for better trade agreements - and the death of TPP”, </w:t>
      </w:r>
      <w:r w:rsidRPr="00AF75EC">
        <w:rPr>
          <w:rFonts w:asciiTheme="majorHAnsi" w:hAnsiTheme="majorHAnsi" w:cstheme="majorHAnsi"/>
          <w:i/>
          <w:sz w:val="24"/>
          <w:lang w:val="en-GB"/>
        </w:rPr>
        <w:t>The Guardian</w:t>
      </w:r>
      <w:r w:rsidRPr="00AF75EC">
        <w:rPr>
          <w:rFonts w:asciiTheme="majorHAnsi" w:hAnsiTheme="majorHAnsi" w:cstheme="majorHAnsi"/>
          <w:sz w:val="24"/>
          <w:lang w:val="en-GB"/>
        </w:rPr>
        <w:t xml:space="preserve"> (January 10, 2016), in </w:t>
      </w:r>
      <w:hyperlink r:id="rId13" w:history="1">
        <w:r w:rsidRPr="00AF75EC">
          <w:rPr>
            <w:rStyle w:val="Hipervnculo"/>
            <w:rFonts w:asciiTheme="majorHAnsi" w:hAnsiTheme="majorHAnsi" w:cstheme="majorHAnsi"/>
            <w:sz w:val="24"/>
            <w:lang w:val="en-GB"/>
          </w:rPr>
          <w:t>https://www.theguardian.com/business/2016/jan/10/in-2016-better-trade-agreements-trans-pacific-partnership</w:t>
        </w:r>
      </w:hyperlink>
    </w:p>
    <w:p w:rsidR="008E3543" w:rsidRPr="00AF75EC" w:rsidRDefault="008E3543" w:rsidP="008E3543">
      <w:pPr>
        <w:pStyle w:val="Textoindependiente"/>
        <w:spacing w:after="0" w:line="240" w:lineRule="auto"/>
        <w:rPr>
          <w:rStyle w:val="Hipervnculo"/>
          <w:rFonts w:asciiTheme="majorHAnsi" w:hAnsiTheme="majorHAnsi" w:cstheme="majorHAnsi"/>
          <w:sz w:val="24"/>
          <w:lang w:val="en-GB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Style w:val="Hipervnculo"/>
          <w:rFonts w:asciiTheme="majorHAnsi" w:hAnsiTheme="majorHAnsi" w:cstheme="majorHAnsi"/>
          <w:sz w:val="24"/>
          <w:lang w:val="en-GB"/>
        </w:rPr>
      </w:pPr>
      <w:proofErr w:type="spellStart"/>
      <w:r w:rsidRPr="00AF75EC">
        <w:rPr>
          <w:rFonts w:asciiTheme="majorHAnsi" w:hAnsiTheme="majorHAnsi" w:cstheme="majorHAnsi"/>
          <w:sz w:val="24"/>
          <w:lang w:val="en-GB"/>
        </w:rPr>
        <w:t>Tokatlián</w:t>
      </w:r>
      <w:proofErr w:type="spellEnd"/>
      <w:r w:rsidRPr="00AF75EC">
        <w:rPr>
          <w:rFonts w:asciiTheme="majorHAnsi" w:hAnsiTheme="majorHAnsi" w:cstheme="majorHAnsi"/>
          <w:sz w:val="24"/>
          <w:lang w:val="en-GB"/>
        </w:rPr>
        <w:t xml:space="preserve">, Juan Gabriel, “United States and Latin America: between uncertainty and concern”, </w:t>
      </w:r>
      <w:r w:rsidRPr="00AF75EC">
        <w:rPr>
          <w:rFonts w:asciiTheme="majorHAnsi" w:hAnsiTheme="majorHAnsi" w:cstheme="majorHAnsi"/>
          <w:i/>
          <w:sz w:val="24"/>
          <w:lang w:val="en-GB"/>
        </w:rPr>
        <w:t>Open Democracy</w:t>
      </w:r>
      <w:r w:rsidRPr="00AF75EC">
        <w:rPr>
          <w:rFonts w:asciiTheme="majorHAnsi" w:hAnsiTheme="majorHAnsi" w:cstheme="majorHAnsi"/>
          <w:sz w:val="24"/>
          <w:lang w:val="en-GB"/>
        </w:rPr>
        <w:t xml:space="preserve">, Nov. 2016, in: </w:t>
      </w:r>
      <w:hyperlink r:id="rId14" w:history="1">
        <w:r w:rsidRPr="00AF75EC">
          <w:rPr>
            <w:rStyle w:val="Hipervnculo"/>
            <w:rFonts w:asciiTheme="majorHAnsi" w:hAnsiTheme="majorHAnsi" w:cstheme="majorHAnsi"/>
            <w:sz w:val="24"/>
            <w:lang w:val="en-GB"/>
          </w:rPr>
          <w:t>https://www.opendemocracy.net/democraciaabierta/juan-gabriel-tokatlian/united-states-and-latin-america-between-uncertainty-and-con</w:t>
        </w:r>
      </w:hyperlink>
      <w:r w:rsidRPr="00AF75EC">
        <w:rPr>
          <w:rStyle w:val="Hipervnculo"/>
          <w:rFonts w:asciiTheme="majorHAnsi" w:hAnsiTheme="majorHAnsi" w:cstheme="majorHAnsi"/>
          <w:sz w:val="24"/>
          <w:lang w:val="en-GB"/>
        </w:rPr>
        <w:t xml:space="preserve"> </w:t>
      </w:r>
    </w:p>
    <w:p w:rsidR="008E3543" w:rsidRPr="00AF75EC" w:rsidRDefault="008E3543" w:rsidP="008E3543">
      <w:pPr>
        <w:pStyle w:val="Textoindependiente"/>
        <w:spacing w:after="0" w:line="240" w:lineRule="auto"/>
        <w:rPr>
          <w:rStyle w:val="Hipervnculo"/>
          <w:rFonts w:asciiTheme="majorHAnsi" w:hAnsiTheme="majorHAnsi" w:cstheme="majorHAnsi"/>
          <w:sz w:val="24"/>
          <w:lang w:val="en-GB"/>
        </w:rPr>
      </w:pPr>
    </w:p>
    <w:p w:rsidR="008E3543" w:rsidRPr="00AF75EC" w:rsidRDefault="008E3543" w:rsidP="008E3543">
      <w:pPr>
        <w:pStyle w:val="Textoindependiente"/>
        <w:spacing w:after="0" w:line="240" w:lineRule="auto"/>
        <w:rPr>
          <w:rFonts w:asciiTheme="majorHAnsi" w:hAnsiTheme="majorHAnsi" w:cstheme="majorHAnsi"/>
          <w:sz w:val="24"/>
          <w:shd w:val="clear" w:color="auto" w:fill="FFFFFF"/>
          <w:lang w:val="en-US"/>
        </w:rPr>
      </w:pPr>
      <w:r w:rsidRPr="00AF75EC">
        <w:rPr>
          <w:rFonts w:asciiTheme="majorHAnsi" w:hAnsiTheme="majorHAnsi" w:cstheme="majorHAnsi"/>
          <w:sz w:val="24"/>
          <w:shd w:val="clear" w:color="auto" w:fill="FFFFFF"/>
          <w:lang w:val="es-AR"/>
        </w:rPr>
        <w:t xml:space="preserve">Torres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  <w:lang w:val="es-AR"/>
        </w:rPr>
        <w:t>Jarrín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  <w:lang w:val="es-AR"/>
        </w:rPr>
        <w:t xml:space="preserve">, M. 2017. </w:t>
      </w:r>
      <w:r w:rsidRPr="00AF75EC">
        <w:rPr>
          <w:rFonts w:asciiTheme="majorHAnsi" w:hAnsiTheme="majorHAnsi" w:cstheme="majorHAnsi"/>
          <w:sz w:val="24"/>
          <w:shd w:val="clear" w:color="auto" w:fill="FFFFFF"/>
        </w:rPr>
        <w:t xml:space="preserve">“El Acervo Integracionista en Europa y América: Las Relaciones entre Europa y América Latina desde una Perspectiva Histórica. </w:t>
      </w:r>
      <w:proofErr w:type="spellStart"/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t>Iberoamericana</w:t>
      </w:r>
      <w:proofErr w:type="spellEnd"/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t xml:space="preserve">” – Nordic Journal </w:t>
      </w:r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lastRenderedPageBreak/>
        <w:t xml:space="preserve">of Latin American and Caribbean Studies, 46(1), 54–64, DOI: </w:t>
      </w:r>
      <w:hyperlink r:id="rId15" w:history="1">
        <w:r w:rsidRPr="00AF75EC">
          <w:rPr>
            <w:rStyle w:val="Hipervnculo"/>
            <w:rFonts w:asciiTheme="majorHAnsi" w:hAnsiTheme="majorHAnsi" w:cstheme="majorHAnsi"/>
            <w:sz w:val="24"/>
            <w:shd w:val="clear" w:color="auto" w:fill="FFFFFF"/>
            <w:lang w:val="en-US"/>
          </w:rPr>
          <w:t>https://doi.org/10.16993/iberoamericana.110</w:t>
        </w:r>
      </w:hyperlink>
      <w:r w:rsidRPr="00AF75EC">
        <w:rPr>
          <w:rFonts w:asciiTheme="majorHAnsi" w:hAnsiTheme="majorHAnsi" w:cstheme="majorHAnsi"/>
          <w:sz w:val="24"/>
          <w:shd w:val="clear" w:color="auto" w:fill="FFFFFF"/>
          <w:lang w:val="en-US"/>
        </w:rPr>
        <w:t xml:space="preserve"> </w:t>
      </w:r>
    </w:p>
    <w:p w:rsidR="00DD5018" w:rsidRPr="00AF75EC" w:rsidRDefault="00DD5018" w:rsidP="008E3543">
      <w:pPr>
        <w:pStyle w:val="Formatoprogramabibliografa1"/>
        <w:ind w:left="0" w:firstLine="0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DD5018" w:rsidRPr="00AF75EC" w:rsidRDefault="00DD5018" w:rsidP="00DD5018">
      <w:pPr>
        <w:pStyle w:val="Formatoprogramabibliografa1"/>
        <w:ind w:left="567" w:firstLine="0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2075CD" w:rsidRDefault="002075CD">
      <w:pPr>
        <w:spacing w:line="240" w:lineRule="auto"/>
        <w:jc w:val="both"/>
      </w:pPr>
      <w:r>
        <w:t>Nota: se incorporará</w:t>
      </w:r>
      <w:r w:rsidRPr="002075CD">
        <w:t xml:space="preserve">n materiales audiovisuales que </w:t>
      </w:r>
      <w:r>
        <w:t xml:space="preserve">enriquecerán </w:t>
      </w:r>
      <w:proofErr w:type="gramStart"/>
      <w:r>
        <w:t>la  bibliografía</w:t>
      </w:r>
      <w:proofErr w:type="gramEnd"/>
      <w:r>
        <w:t xml:space="preserve"> y que pueden ser considerados como materiales académicos.</w:t>
      </w:r>
    </w:p>
    <w:p w:rsidR="009243A7" w:rsidRPr="002075CD" w:rsidRDefault="002075CD">
      <w:pPr>
        <w:spacing w:line="240" w:lineRule="auto"/>
        <w:jc w:val="both"/>
      </w:pPr>
      <w:r w:rsidRPr="002075CD">
        <w:t xml:space="preserve"> </w:t>
      </w: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:rsidR="00E96879" w:rsidRPr="003D3737" w:rsidRDefault="00E96879" w:rsidP="00E96879">
      <w:pPr>
        <w:jc w:val="both"/>
        <w:rPr>
          <w:sz w:val="24"/>
          <w:szCs w:val="24"/>
        </w:rPr>
      </w:pPr>
      <w:r w:rsidRPr="003D3737">
        <w:rPr>
          <w:sz w:val="24"/>
          <w:szCs w:val="24"/>
        </w:rPr>
        <w:t>La metodología de enseñanza/aprendizaje promueve una posición activa del estudiante en todo el proceso de aprendizaje. De este modo, los asistentes a este curso deben desarrollar propuestas propias, participar en diversas actividades y ejercitar el análisis. Esta metodología fomenta la interacción. En nuestro seminario se destacara el análisis de casos o procesos singulares. Se hará hincapié en esta metodología puesto que la enseñanza del posgrado exige una instrucción activa, crítica, participativa y operativa. El campus virtual puede promover esta propuesta a través de conferencias, charlas, espacios de simulación, análisis y resolución de casos.</w:t>
      </w:r>
    </w:p>
    <w:p w:rsidR="00E96879" w:rsidRPr="003D3737" w:rsidRDefault="00E96879" w:rsidP="00E96879">
      <w:pPr>
        <w:jc w:val="both"/>
        <w:rPr>
          <w:rFonts w:asciiTheme="minorHAnsi" w:hAnsiTheme="minorHAnsi"/>
          <w:sz w:val="24"/>
          <w:szCs w:val="24"/>
        </w:rPr>
      </w:pPr>
      <w:r w:rsidRPr="003D3737">
        <w:rPr>
          <w:sz w:val="24"/>
          <w:szCs w:val="24"/>
          <w:u w:val="single"/>
        </w:rPr>
        <w:t>Esquema de cursada</w:t>
      </w:r>
      <w:r w:rsidRPr="003D3737">
        <w:rPr>
          <w:sz w:val="24"/>
          <w:szCs w:val="24"/>
        </w:rPr>
        <w:t>: cada clase será incorporada a la plataforma virtual. Donde los estudiantes y las estudiantes tendrán materiales teóricos (en formato bibliográfico,</w:t>
      </w:r>
      <w:r w:rsidR="003D3737" w:rsidRPr="003D3737">
        <w:rPr>
          <w:sz w:val="24"/>
          <w:szCs w:val="24"/>
        </w:rPr>
        <w:t xml:space="preserve"> audiovisual, </w:t>
      </w:r>
      <w:proofErr w:type="spellStart"/>
      <w:r w:rsidR="003D3737" w:rsidRPr="003D3737">
        <w:rPr>
          <w:sz w:val="24"/>
          <w:szCs w:val="24"/>
        </w:rPr>
        <w:t>infográfico</w:t>
      </w:r>
      <w:proofErr w:type="spellEnd"/>
      <w:r w:rsidR="003D3737" w:rsidRPr="003D3737">
        <w:rPr>
          <w:sz w:val="24"/>
          <w:szCs w:val="24"/>
        </w:rPr>
        <w:t>, etc.</w:t>
      </w:r>
      <w:r w:rsidRPr="003D3737">
        <w:rPr>
          <w:sz w:val="24"/>
          <w:szCs w:val="24"/>
        </w:rPr>
        <w:t xml:space="preserve">) y propuestas de resolución de actividades.  Se insistirá en a discusión grupal para diversos casos y procesos.  </w:t>
      </w:r>
    </w:p>
    <w:p w:rsidR="003D3737" w:rsidRPr="003D3737" w:rsidRDefault="003D3737" w:rsidP="003D3737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D3737">
        <w:rPr>
          <w:b/>
          <w:sz w:val="24"/>
          <w:szCs w:val="24"/>
        </w:rPr>
        <w:t xml:space="preserve">Modalidad de evaluación: </w:t>
      </w:r>
      <w:r w:rsidRPr="003D3737">
        <w:rPr>
          <w:sz w:val="24"/>
          <w:szCs w:val="24"/>
        </w:rPr>
        <w:t xml:space="preserve">La evaluación final será obligatoria e individual. Consistirá en un trabajo final </w:t>
      </w:r>
      <w:r w:rsidR="00AF75EC">
        <w:rPr>
          <w:sz w:val="24"/>
          <w:szCs w:val="24"/>
        </w:rPr>
        <w:t>(en el formato que el docente o los docentes decidan)</w:t>
      </w:r>
      <w:r w:rsidRPr="003D3737">
        <w:rPr>
          <w:sz w:val="24"/>
          <w:szCs w:val="24"/>
        </w:rPr>
        <w:t xml:space="preserve">. La nota de este trabajo final se promediará con las actividades que se soliciten durante la cursada. </w:t>
      </w:r>
      <w:r w:rsidR="00AF75EC">
        <w:rPr>
          <w:sz w:val="24"/>
          <w:szCs w:val="24"/>
        </w:rPr>
        <w:t xml:space="preserve"> </w:t>
      </w:r>
    </w:p>
    <w:p w:rsidR="003D3737" w:rsidRPr="003D3737" w:rsidRDefault="003D3737" w:rsidP="003D3737">
      <w:pPr>
        <w:jc w:val="both"/>
        <w:rPr>
          <w:sz w:val="24"/>
          <w:szCs w:val="24"/>
        </w:rPr>
      </w:pPr>
      <w:r w:rsidRPr="003D3737">
        <w:rPr>
          <w:b/>
          <w:sz w:val="24"/>
          <w:szCs w:val="24"/>
        </w:rPr>
        <w:t>Requisitos de Regularidad</w:t>
      </w:r>
      <w:r w:rsidRPr="003D3737">
        <w:rPr>
          <w:sz w:val="24"/>
          <w:szCs w:val="24"/>
        </w:rPr>
        <w:t xml:space="preserve">: Para poder aprobar la asignatura será necesario que los estudiantes y las estudiantes realicen todas las actividades propuestas en cada clase en el periodo previsto por el cronograma. </w:t>
      </w:r>
    </w:p>
    <w:p w:rsidR="00F2149E" w:rsidRDefault="00F2149E">
      <w:pPr>
        <w:spacing w:line="240" w:lineRule="auto"/>
        <w:jc w:val="both"/>
        <w:rPr>
          <w:sz w:val="24"/>
          <w:szCs w:val="24"/>
        </w:rPr>
      </w:pPr>
    </w:p>
    <w:p w:rsidR="00F2149E" w:rsidRDefault="00F2149E">
      <w:pPr>
        <w:jc w:val="both"/>
        <w:rPr>
          <w:b/>
          <w:sz w:val="36"/>
          <w:szCs w:val="36"/>
        </w:rPr>
      </w:pPr>
    </w:p>
    <w:sectPr w:rsidR="00F2149E" w:rsidSect="00D07E79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F9" w:rsidRDefault="003B66F9">
      <w:pPr>
        <w:spacing w:after="0" w:line="240" w:lineRule="auto"/>
      </w:pPr>
      <w:r>
        <w:separator/>
      </w:r>
    </w:p>
  </w:endnote>
  <w:endnote w:type="continuationSeparator" w:id="0">
    <w:p w:rsidR="003B66F9" w:rsidRDefault="003B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F9" w:rsidRDefault="003B66F9">
      <w:pPr>
        <w:spacing w:after="0" w:line="240" w:lineRule="auto"/>
      </w:pPr>
      <w:r>
        <w:separator/>
      </w:r>
    </w:p>
  </w:footnote>
  <w:footnote w:type="continuationSeparator" w:id="0">
    <w:p w:rsidR="003B66F9" w:rsidRDefault="003B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BD4"/>
    <w:multiLevelType w:val="hybridMultilevel"/>
    <w:tmpl w:val="44F8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2BF"/>
    <w:multiLevelType w:val="hybridMultilevel"/>
    <w:tmpl w:val="9C60B35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1C22DF7"/>
    <w:multiLevelType w:val="hybridMultilevel"/>
    <w:tmpl w:val="48C0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B9A"/>
    <w:multiLevelType w:val="hybridMultilevel"/>
    <w:tmpl w:val="0A16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EB0D32"/>
    <w:multiLevelType w:val="hybridMultilevel"/>
    <w:tmpl w:val="423C458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E"/>
    <w:rsid w:val="000137A5"/>
    <w:rsid w:val="00024DA9"/>
    <w:rsid w:val="000A237F"/>
    <w:rsid w:val="000D1E34"/>
    <w:rsid w:val="001A5117"/>
    <w:rsid w:val="002075CD"/>
    <w:rsid w:val="003A6509"/>
    <w:rsid w:val="003B66F9"/>
    <w:rsid w:val="003D3737"/>
    <w:rsid w:val="005A0143"/>
    <w:rsid w:val="005E1C72"/>
    <w:rsid w:val="006A7582"/>
    <w:rsid w:val="007769CB"/>
    <w:rsid w:val="008E3543"/>
    <w:rsid w:val="009243A7"/>
    <w:rsid w:val="009260CE"/>
    <w:rsid w:val="009A2FD5"/>
    <w:rsid w:val="00A81F02"/>
    <w:rsid w:val="00AF75EC"/>
    <w:rsid w:val="00D07E79"/>
    <w:rsid w:val="00DD5018"/>
    <w:rsid w:val="00E72B6C"/>
    <w:rsid w:val="00E92FF1"/>
    <w:rsid w:val="00E96879"/>
    <w:rsid w:val="00EE2891"/>
    <w:rsid w:val="00F2149E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D1B26-A8FB-425C-B532-68933FDA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A2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0A237F"/>
    <w:rPr>
      <w:color w:val="0000FF"/>
      <w:u w:val="single"/>
    </w:rPr>
  </w:style>
  <w:style w:type="paragraph" w:customStyle="1" w:styleId="Formatoprogramabibliografa1">
    <w:name w:val="Formato programa (bibliografía 1)"/>
    <w:basedOn w:val="Bibliografa"/>
    <w:qFormat/>
    <w:rsid w:val="005E1C72"/>
    <w:pPr>
      <w:tabs>
        <w:tab w:val="left" w:pos="1843"/>
      </w:tabs>
      <w:spacing w:before="20" w:after="40" w:line="240" w:lineRule="exact"/>
      <w:ind w:left="1843" w:hanging="1276"/>
      <w:jc w:val="both"/>
    </w:pPr>
    <w:rPr>
      <w:rFonts w:eastAsia="Times New Roman" w:cs="Times New Roman"/>
      <w:sz w:val="20"/>
      <w:szCs w:val="19"/>
      <w:lang w:val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5E1C72"/>
  </w:style>
  <w:style w:type="paragraph" w:styleId="HTMLconformatoprevio">
    <w:name w:val="HTML Preformatted"/>
    <w:basedOn w:val="Normal"/>
    <w:link w:val="HTMLconformatoprevioCar"/>
    <w:uiPriority w:val="99"/>
    <w:unhideWhenUsed/>
    <w:rsid w:val="00926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60CE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3543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3543"/>
    <w:rPr>
      <w:rFonts w:ascii="Times New Roman" w:eastAsia="Times New Roman" w:hAnsi="Times New Roman" w:cs="Times New Roman"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09/rev_POSO.2016.v53.n1.48456" TargetMode="External"/><Relationship Id="rId13" Type="http://schemas.openxmlformats.org/officeDocument/2006/relationships/hyperlink" Target="https://www.theguardian.com/business/2016/jan/10/in-2016-better-trade-agreements-trans-pacific-partnershi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uso.org/articulo/la-union-europea-como-actor-glob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dmus.eui.eu/bitstream/handle/1814/26336/RSCAS_2013_20.pdf?sequence=1&amp;isAllowed=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6993/iberoamericana.110" TargetMode="External"/><Relationship Id="rId10" Type="http://schemas.openxmlformats.org/officeDocument/2006/relationships/hyperlink" Target="http://nuso.org/articulo/fantasmas-europe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so.org/media/articles/downloads/3189_1.pdf" TargetMode="External"/><Relationship Id="rId14" Type="http://schemas.openxmlformats.org/officeDocument/2006/relationships/hyperlink" Target="https://www.opendemocracy.net/democraciaabierta/juan-gabriel-tokatlian/united-states-and-latin-america-between-uncertainty-and-c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HP</cp:lastModifiedBy>
  <cp:revision>6</cp:revision>
  <dcterms:created xsi:type="dcterms:W3CDTF">2020-07-03T02:30:00Z</dcterms:created>
  <dcterms:modified xsi:type="dcterms:W3CDTF">2020-07-03T03:19:00Z</dcterms:modified>
</cp:coreProperties>
</file>