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90" w:rsidRPr="007E0190" w:rsidRDefault="007E0190" w:rsidP="007E0190">
      <w:pPr>
        <w:jc w:val="center"/>
        <w:rPr>
          <w:rFonts w:ascii="Teko" w:eastAsia="Teko" w:hAnsi="Teko" w:cs="Teko"/>
          <w:b/>
          <w:sz w:val="40"/>
          <w:szCs w:val="40"/>
        </w:rPr>
      </w:pPr>
      <w:r w:rsidRPr="007E0190">
        <w:rPr>
          <w:rFonts w:ascii="Teko" w:eastAsia="Teko" w:hAnsi="Teko" w:cs="Teko"/>
          <w:b/>
          <w:sz w:val="40"/>
          <w:szCs w:val="40"/>
        </w:rPr>
        <w:t>MAESTRIA EN POLITICAS SOCIALES</w:t>
      </w:r>
    </w:p>
    <w:p w:rsidR="00F2149E" w:rsidRDefault="001A5117">
      <w:pPr>
        <w:jc w:val="center"/>
        <w:rPr>
          <w:rFonts w:ascii="Teko" w:eastAsia="Teko" w:hAnsi="Teko" w:cs="Teko"/>
          <w:b/>
          <w:sz w:val="40"/>
          <w:szCs w:val="40"/>
        </w:rPr>
      </w:pPr>
      <w:r>
        <w:rPr>
          <w:rFonts w:ascii="Teko" w:eastAsia="Teko" w:hAnsi="Teko" w:cs="Teko"/>
          <w:b/>
          <w:sz w:val="40"/>
          <w:szCs w:val="40"/>
        </w:rPr>
        <w:t>– Ciclo lectivo 2020</w:t>
      </w:r>
    </w:p>
    <w:p w:rsidR="007E0190" w:rsidRPr="007E0190" w:rsidRDefault="007E0190" w:rsidP="007E0190">
      <w:pPr>
        <w:jc w:val="both"/>
        <w:rPr>
          <w:rFonts w:ascii="Teko" w:eastAsia="Teko" w:hAnsi="Teko" w:cs="Teko"/>
          <w:b/>
          <w:sz w:val="52"/>
          <w:szCs w:val="52"/>
          <w:lang w:val="es-MX"/>
        </w:rPr>
      </w:pPr>
      <w:r w:rsidRPr="007E0190">
        <w:rPr>
          <w:rFonts w:ascii="Teko" w:eastAsia="Teko" w:hAnsi="Teko" w:cs="Teko"/>
          <w:b/>
          <w:i/>
          <w:sz w:val="52"/>
          <w:szCs w:val="52"/>
        </w:rPr>
        <w:t xml:space="preserve">PLANIFICACION y PROGRAMACIÓN SOCIAL; Teoría, metodología y práctica de la planificación </w:t>
      </w:r>
      <w:r>
        <w:rPr>
          <w:rFonts w:ascii="Teko" w:eastAsia="Teko" w:hAnsi="Teko" w:cs="Teko"/>
          <w:b/>
          <w:i/>
          <w:sz w:val="52"/>
          <w:szCs w:val="52"/>
        </w:rPr>
        <w:t>y</w:t>
      </w:r>
      <w:r w:rsidRPr="007E0190">
        <w:rPr>
          <w:rFonts w:ascii="Teko" w:eastAsia="Teko" w:hAnsi="Teko" w:cs="Teko"/>
          <w:b/>
          <w:i/>
          <w:sz w:val="52"/>
          <w:szCs w:val="52"/>
        </w:rPr>
        <w:t xml:space="preserve"> programación estratégica en las Políticas Sociales</w:t>
      </w:r>
    </w:p>
    <w:p w:rsidR="00F2149E" w:rsidRPr="007E0190" w:rsidRDefault="00F2149E">
      <w:pPr>
        <w:jc w:val="both"/>
        <w:rPr>
          <w:b/>
          <w:sz w:val="28"/>
          <w:szCs w:val="28"/>
          <w:lang w:val="es-MX"/>
        </w:rPr>
      </w:pPr>
    </w:p>
    <w:p w:rsidR="00F2149E" w:rsidRDefault="00F2149E">
      <w:pPr>
        <w:jc w:val="both"/>
        <w:rPr>
          <w:b/>
          <w:sz w:val="28"/>
          <w:szCs w:val="28"/>
        </w:rPr>
        <w:sectPr w:rsidR="00F2149E">
          <w:headerReference w:type="default" r:id="rId7"/>
          <w:pgSz w:w="11906" w:h="16838"/>
          <w:pgMar w:top="1985" w:right="1701" w:bottom="1417" w:left="1701" w:header="568" w:footer="708" w:gutter="0"/>
          <w:pgNumType w:start="1"/>
          <w:cols w:space="720" w:equalWidth="0">
            <w:col w:w="8838"/>
          </w:cols>
        </w:sectPr>
      </w:pPr>
    </w:p>
    <w:p w:rsidR="00F2149E" w:rsidRDefault="001A511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Docente(s)</w:t>
      </w:r>
    </w:p>
    <w:p w:rsidR="00F2149E" w:rsidRDefault="00F2149E">
      <w:pPr>
        <w:jc w:val="both"/>
        <w:rPr>
          <w:b/>
          <w:sz w:val="24"/>
          <w:szCs w:val="24"/>
        </w:rPr>
        <w:sectPr w:rsidR="00F2149E">
          <w:type w:val="continuous"/>
          <w:pgSz w:w="11906" w:h="16838"/>
          <w:pgMar w:top="1523" w:right="1701" w:bottom="1417" w:left="1701" w:header="568" w:footer="708" w:gutter="0"/>
          <w:cols w:space="720" w:equalWidth="0">
            <w:col w:w="8838"/>
          </w:cols>
        </w:sectPr>
      </w:pPr>
    </w:p>
    <w:p w:rsidR="00F2149E" w:rsidRDefault="007E019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Mario Rovere</w:t>
      </w:r>
    </w:p>
    <w:p w:rsidR="00F2149E" w:rsidRPr="008E6B71" w:rsidRDefault="001A5117">
      <w:pPr>
        <w:spacing w:line="240" w:lineRule="auto"/>
        <w:jc w:val="both"/>
        <w:rPr>
          <w:color w:val="000000" w:themeColor="text1"/>
          <w:sz w:val="28"/>
          <w:szCs w:val="28"/>
        </w:rPr>
        <w:sectPr w:rsidR="00F2149E" w:rsidRPr="008E6B71">
          <w:type w:val="continuous"/>
          <w:pgSz w:w="11906" w:h="16838"/>
          <w:pgMar w:top="1523" w:right="1701" w:bottom="1417" w:left="1701" w:header="568" w:footer="708" w:gutter="0"/>
          <w:cols w:num="2" w:space="720" w:equalWidth="0">
            <w:col w:w="3897" w:space="708"/>
            <w:col w:w="3897" w:space="0"/>
          </w:cols>
        </w:sectPr>
      </w:pPr>
      <w:r>
        <w:br w:type="column"/>
      </w:r>
      <w:r w:rsidR="008E6B71" w:rsidRPr="008E6B71">
        <w:rPr>
          <w:color w:val="000000" w:themeColor="text1"/>
          <w:sz w:val="24"/>
          <w:szCs w:val="24"/>
        </w:rPr>
        <w:lastRenderedPageBreak/>
        <w:t xml:space="preserve">Médico Sanitarista con Residencia en salud internacional. Ha sido consultor regional de Desarrollo de Recursos </w:t>
      </w:r>
      <w:r w:rsidR="00990126">
        <w:rPr>
          <w:color w:val="000000" w:themeColor="text1"/>
          <w:sz w:val="24"/>
          <w:szCs w:val="24"/>
        </w:rPr>
        <w:t>H</w:t>
      </w:r>
      <w:r w:rsidR="008E6B71" w:rsidRPr="008E6B71">
        <w:rPr>
          <w:color w:val="000000" w:themeColor="text1"/>
          <w:sz w:val="24"/>
          <w:szCs w:val="24"/>
        </w:rPr>
        <w:t>umanos de la OPS OMS. Decano Organizador de la Carrera de Medicina de la UNLa</w:t>
      </w:r>
      <w:r w:rsidR="008E6B71">
        <w:rPr>
          <w:color w:val="000000" w:themeColor="text1"/>
          <w:sz w:val="24"/>
          <w:szCs w:val="24"/>
        </w:rPr>
        <w:t>M</w:t>
      </w:r>
      <w:r w:rsidR="008E6B71" w:rsidRPr="008E6B71">
        <w:rPr>
          <w:color w:val="000000" w:themeColor="text1"/>
          <w:sz w:val="24"/>
          <w:szCs w:val="24"/>
        </w:rPr>
        <w:t>. Y Vice Ministro de Salud de la Nacion. Actualmente Dirige la Escuela de Gobierno "Floreal Ferrara"del Ministerio de Salud de la Prov</w:t>
      </w:r>
      <w:r w:rsidR="00B8179D">
        <w:rPr>
          <w:color w:val="000000" w:themeColor="text1"/>
          <w:sz w:val="24"/>
          <w:szCs w:val="24"/>
        </w:rPr>
        <w:t>i</w:t>
      </w:r>
      <w:r w:rsidR="008E6B71" w:rsidRPr="008E6B71">
        <w:rPr>
          <w:color w:val="000000" w:themeColor="text1"/>
          <w:sz w:val="24"/>
          <w:szCs w:val="24"/>
        </w:rPr>
        <w:t>ncia de Buenos Aires</w:t>
      </w:r>
      <w:r w:rsidR="00B8179D">
        <w:rPr>
          <w:color w:val="000000" w:themeColor="text1"/>
          <w:sz w:val="24"/>
          <w:szCs w:val="24"/>
        </w:rPr>
        <w:t>.</w:t>
      </w:r>
    </w:p>
    <w:p w:rsidR="007E0190" w:rsidRDefault="007E0190" w:rsidP="007E0190">
      <w:pPr>
        <w:spacing w:line="240" w:lineRule="auto"/>
        <w:rPr>
          <w:b/>
          <w:sz w:val="24"/>
          <w:szCs w:val="24"/>
        </w:rPr>
      </w:pPr>
    </w:p>
    <w:p w:rsidR="007E0190" w:rsidRDefault="007E0190" w:rsidP="007E0190">
      <w:pPr>
        <w:spacing w:line="240" w:lineRule="auto"/>
        <w:rPr>
          <w:b/>
          <w:sz w:val="24"/>
          <w:szCs w:val="24"/>
        </w:rPr>
      </w:pPr>
      <w:r w:rsidRPr="007E0190">
        <w:rPr>
          <w:b/>
          <w:sz w:val="24"/>
          <w:szCs w:val="24"/>
        </w:rPr>
        <w:t xml:space="preserve">VerónicaGonzález </w:t>
      </w:r>
    </w:p>
    <w:p w:rsidR="007E0190" w:rsidRDefault="007E0190" w:rsidP="007E0190">
      <w:pPr>
        <w:spacing w:line="240" w:lineRule="auto"/>
        <w:rPr>
          <w:b/>
          <w:sz w:val="24"/>
          <w:szCs w:val="24"/>
        </w:rPr>
      </w:pPr>
    </w:p>
    <w:p w:rsidR="007E0190" w:rsidRDefault="007E0190" w:rsidP="007E0190">
      <w:pPr>
        <w:spacing w:line="240" w:lineRule="auto"/>
        <w:rPr>
          <w:b/>
          <w:sz w:val="24"/>
          <w:szCs w:val="24"/>
        </w:rPr>
      </w:pPr>
    </w:p>
    <w:p w:rsidR="007E0190" w:rsidRDefault="007E0190" w:rsidP="007E0190">
      <w:pPr>
        <w:spacing w:line="240" w:lineRule="auto"/>
        <w:rPr>
          <w:b/>
          <w:sz w:val="24"/>
          <w:szCs w:val="24"/>
        </w:rPr>
      </w:pPr>
    </w:p>
    <w:p w:rsidR="00B8179D" w:rsidRDefault="00B8179D" w:rsidP="00B8179D">
      <w:pPr>
        <w:spacing w:line="240" w:lineRule="auto"/>
        <w:jc w:val="both"/>
        <w:rPr>
          <w:color w:val="FF0000"/>
          <w:sz w:val="24"/>
          <w:szCs w:val="24"/>
        </w:rPr>
      </w:pPr>
    </w:p>
    <w:p w:rsidR="00B8179D" w:rsidRDefault="00B8179D" w:rsidP="00B8179D">
      <w:pPr>
        <w:spacing w:line="240" w:lineRule="auto"/>
        <w:jc w:val="both"/>
        <w:rPr>
          <w:color w:val="FF0000"/>
          <w:sz w:val="24"/>
          <w:szCs w:val="24"/>
        </w:rPr>
      </w:pPr>
    </w:p>
    <w:p w:rsidR="00B8179D" w:rsidRDefault="00B8179D" w:rsidP="00B8179D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7E0190" w:rsidRPr="00B8179D" w:rsidRDefault="007E0190" w:rsidP="00B8179D">
      <w:pPr>
        <w:spacing w:line="240" w:lineRule="auto"/>
        <w:jc w:val="both"/>
        <w:rPr>
          <w:color w:val="FF0000"/>
          <w:sz w:val="24"/>
          <w:szCs w:val="24"/>
        </w:rPr>
        <w:sectPr w:rsidR="007E0190" w:rsidRPr="00B8179D" w:rsidSect="007E0190">
          <w:type w:val="continuous"/>
          <w:pgSz w:w="11906" w:h="16838"/>
          <w:pgMar w:top="1985" w:right="1701" w:bottom="1417" w:left="1701" w:header="568" w:footer="708" w:gutter="0"/>
          <w:cols w:num="2" w:space="720"/>
        </w:sectPr>
      </w:pPr>
      <w:r w:rsidRPr="00B8179D">
        <w:rPr>
          <w:color w:val="000000" w:themeColor="text1"/>
          <w:sz w:val="24"/>
          <w:szCs w:val="24"/>
        </w:rPr>
        <w:t>Odontóloga, Magíster en Salud Pública (UBA). Docente de grado (UNPAZ) y posgrado (FLACSO, UNR, UNDAV</w:t>
      </w:r>
      <w:r w:rsidR="00772843" w:rsidRPr="00B8179D">
        <w:rPr>
          <w:color w:val="000000" w:themeColor="text1"/>
          <w:sz w:val="24"/>
          <w:szCs w:val="24"/>
        </w:rPr>
        <w:t>, UNLP</w:t>
      </w:r>
      <w:r w:rsidR="008E6B71" w:rsidRPr="00B8179D">
        <w:rPr>
          <w:color w:val="000000" w:themeColor="text1"/>
          <w:sz w:val="24"/>
          <w:szCs w:val="24"/>
        </w:rPr>
        <w:t>, UNTDF</w:t>
      </w:r>
      <w:r w:rsidRPr="00B8179D">
        <w:rPr>
          <w:color w:val="000000" w:themeColor="text1"/>
          <w:sz w:val="24"/>
          <w:szCs w:val="24"/>
        </w:rPr>
        <w:t>).</w:t>
      </w:r>
      <w:r w:rsidR="00B8179D" w:rsidRPr="00B8179D">
        <w:rPr>
          <w:color w:val="000000" w:themeColor="text1"/>
          <w:sz w:val="24"/>
          <w:szCs w:val="24"/>
        </w:rPr>
        <w:t>Consultora para el Organismo Andino en Salud (ORAS).</w:t>
      </w:r>
      <w:r w:rsidR="00B8179D" w:rsidRPr="008E6B71">
        <w:rPr>
          <w:color w:val="000000" w:themeColor="text1"/>
          <w:sz w:val="24"/>
          <w:szCs w:val="24"/>
        </w:rPr>
        <w:t xml:space="preserve">Actualmente </w:t>
      </w:r>
      <w:r w:rsidR="00B8179D">
        <w:rPr>
          <w:color w:val="000000" w:themeColor="text1"/>
          <w:sz w:val="24"/>
          <w:szCs w:val="24"/>
        </w:rPr>
        <w:t>forma parte del equipo de asesores de</w:t>
      </w:r>
      <w:r w:rsidR="00B8179D" w:rsidRPr="008E6B71">
        <w:rPr>
          <w:color w:val="000000" w:themeColor="text1"/>
          <w:sz w:val="24"/>
          <w:szCs w:val="24"/>
        </w:rPr>
        <w:t xml:space="preserve"> la Escuela de Gobierno "Floreal Ferrara"del Ministerio de Salud de la Prov</w:t>
      </w:r>
      <w:r w:rsidR="00B8179D">
        <w:rPr>
          <w:color w:val="000000" w:themeColor="text1"/>
          <w:sz w:val="24"/>
          <w:szCs w:val="24"/>
        </w:rPr>
        <w:t>i</w:t>
      </w:r>
      <w:r w:rsidR="00B8179D" w:rsidRPr="008E6B71">
        <w:rPr>
          <w:color w:val="000000" w:themeColor="text1"/>
          <w:sz w:val="24"/>
          <w:szCs w:val="24"/>
        </w:rPr>
        <w:t>ncia de Buenos Aires</w:t>
      </w:r>
      <w:r w:rsidR="00B8179D">
        <w:rPr>
          <w:color w:val="000000" w:themeColor="text1"/>
          <w:sz w:val="24"/>
          <w:szCs w:val="24"/>
        </w:rPr>
        <w:t>.</w:t>
      </w:r>
    </w:p>
    <w:p w:rsidR="007E0190" w:rsidRDefault="007E0190" w:rsidP="007E0190">
      <w:pPr>
        <w:spacing w:line="240" w:lineRule="auto"/>
        <w:rPr>
          <w:sz w:val="24"/>
          <w:szCs w:val="24"/>
        </w:rPr>
        <w:sectPr w:rsidR="007E0190" w:rsidSect="00693B0B">
          <w:type w:val="continuous"/>
          <w:pgSz w:w="11906" w:h="16838"/>
          <w:pgMar w:top="1985" w:right="1701" w:bottom="1417" w:left="1701" w:header="568" w:footer="708" w:gutter="0"/>
          <w:cols w:space="720" w:equalWidth="0">
            <w:col w:w="8838"/>
          </w:cols>
        </w:sectPr>
      </w:pPr>
    </w:p>
    <w:p w:rsidR="007E0190" w:rsidRDefault="007E0190">
      <w:pPr>
        <w:spacing w:line="240" w:lineRule="auto"/>
        <w:jc w:val="both"/>
        <w:rPr>
          <w:b/>
          <w:sz w:val="28"/>
          <w:szCs w:val="28"/>
        </w:rPr>
        <w:sectPr w:rsidR="007E0190" w:rsidSect="007E0190">
          <w:type w:val="continuous"/>
          <w:pgSz w:w="11906" w:h="16838"/>
          <w:pgMar w:top="1985" w:right="1701" w:bottom="1417" w:left="1701" w:header="568" w:footer="708" w:gutter="0"/>
          <w:cols w:num="2" w:space="720"/>
        </w:sectPr>
      </w:pPr>
    </w:p>
    <w:p w:rsidR="007E0190" w:rsidRDefault="007E0190">
      <w:pPr>
        <w:spacing w:line="240" w:lineRule="auto"/>
        <w:jc w:val="both"/>
        <w:rPr>
          <w:b/>
          <w:sz w:val="28"/>
          <w:szCs w:val="28"/>
        </w:rPr>
      </w:pPr>
    </w:p>
    <w:p w:rsidR="00B8179D" w:rsidRDefault="00B8179D">
      <w:pPr>
        <w:spacing w:line="240" w:lineRule="auto"/>
        <w:jc w:val="both"/>
        <w:rPr>
          <w:b/>
          <w:sz w:val="28"/>
          <w:szCs w:val="28"/>
        </w:rPr>
      </w:pPr>
    </w:p>
    <w:p w:rsidR="00B8179D" w:rsidRDefault="00B8179D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Fundamentación </w:t>
      </w:r>
    </w:p>
    <w:p w:rsidR="007E0190" w:rsidRDefault="007E0190" w:rsidP="007E0190">
      <w:pPr>
        <w:jc w:val="both"/>
        <w:rPr>
          <w:rFonts w:cs="Arial"/>
          <w:sz w:val="24"/>
          <w:szCs w:val="24"/>
        </w:rPr>
      </w:pPr>
      <w:r w:rsidRPr="00C36111">
        <w:rPr>
          <w:rFonts w:cs="Arial"/>
          <w:sz w:val="24"/>
          <w:szCs w:val="24"/>
        </w:rPr>
        <w:t xml:space="preserve">La planificación </w:t>
      </w:r>
      <w:r>
        <w:rPr>
          <w:rFonts w:cs="Arial"/>
          <w:sz w:val="24"/>
          <w:szCs w:val="24"/>
        </w:rPr>
        <w:t xml:space="preserve">y la programación </w:t>
      </w:r>
      <w:r w:rsidRPr="00C36111">
        <w:rPr>
          <w:rFonts w:cs="Arial"/>
          <w:sz w:val="24"/>
          <w:szCs w:val="24"/>
        </w:rPr>
        <w:t>ha</w:t>
      </w:r>
      <w:r>
        <w:rPr>
          <w:rFonts w:cs="Arial"/>
          <w:sz w:val="24"/>
          <w:szCs w:val="24"/>
        </w:rPr>
        <w:t>n</w:t>
      </w:r>
      <w:r w:rsidRPr="00C36111">
        <w:rPr>
          <w:rFonts w:cs="Arial"/>
          <w:sz w:val="24"/>
          <w:szCs w:val="24"/>
        </w:rPr>
        <w:t xml:space="preserve"> pasado por varias etapas desde ser la</w:t>
      </w:r>
      <w:r>
        <w:rPr>
          <w:rFonts w:cs="Arial"/>
          <w:sz w:val="24"/>
          <w:szCs w:val="24"/>
        </w:rPr>
        <w:t>s</w:t>
      </w:r>
      <w:r w:rsidRPr="00C36111">
        <w:rPr>
          <w:rFonts w:cs="Arial"/>
          <w:sz w:val="24"/>
          <w:szCs w:val="24"/>
        </w:rPr>
        <w:t xml:space="preserve"> llave</w:t>
      </w:r>
      <w:r>
        <w:rPr>
          <w:rFonts w:cs="Arial"/>
          <w:sz w:val="24"/>
          <w:szCs w:val="24"/>
        </w:rPr>
        <w:t>s</w:t>
      </w:r>
      <w:r w:rsidRPr="00C36111">
        <w:rPr>
          <w:rFonts w:cs="Arial"/>
          <w:sz w:val="24"/>
          <w:szCs w:val="24"/>
        </w:rPr>
        <w:t xml:space="preserve"> m</w:t>
      </w:r>
      <w:r>
        <w:rPr>
          <w:rFonts w:cs="Arial"/>
          <w:sz w:val="24"/>
          <w:szCs w:val="24"/>
        </w:rPr>
        <w:t>a</w:t>
      </w:r>
      <w:r w:rsidRPr="00C36111">
        <w:rPr>
          <w:rFonts w:cs="Arial"/>
          <w:sz w:val="24"/>
          <w:szCs w:val="24"/>
        </w:rPr>
        <w:t>estra</w:t>
      </w:r>
      <w:r>
        <w:rPr>
          <w:rFonts w:cs="Arial"/>
          <w:sz w:val="24"/>
          <w:szCs w:val="24"/>
        </w:rPr>
        <w:t>s</w:t>
      </w:r>
      <w:r w:rsidRPr="00C36111">
        <w:rPr>
          <w:rFonts w:cs="Arial"/>
          <w:sz w:val="24"/>
          <w:szCs w:val="24"/>
        </w:rPr>
        <w:t xml:space="preserve"> para el desarrollo hasta su </w:t>
      </w:r>
      <w:r>
        <w:rPr>
          <w:rFonts w:cs="Arial"/>
          <w:sz w:val="24"/>
          <w:szCs w:val="24"/>
        </w:rPr>
        <w:t xml:space="preserve">simple </w:t>
      </w:r>
      <w:r w:rsidRPr="00C36111">
        <w:rPr>
          <w:rFonts w:cs="Arial"/>
          <w:sz w:val="24"/>
          <w:szCs w:val="24"/>
        </w:rPr>
        <w:t>desprestigio</w:t>
      </w:r>
      <w:r>
        <w:rPr>
          <w:rFonts w:cs="Arial"/>
          <w:sz w:val="24"/>
          <w:szCs w:val="24"/>
        </w:rPr>
        <w:t>,</w:t>
      </w:r>
      <w:r w:rsidRPr="00C36111">
        <w:rPr>
          <w:rFonts w:cs="Arial"/>
          <w:sz w:val="24"/>
          <w:szCs w:val="24"/>
        </w:rPr>
        <w:t xml:space="preserve"> desvalorización</w:t>
      </w:r>
      <w:r>
        <w:rPr>
          <w:rFonts w:cs="Arial"/>
          <w:sz w:val="24"/>
          <w:szCs w:val="24"/>
        </w:rPr>
        <w:t xml:space="preserve"> y abandono</w:t>
      </w:r>
      <w:r w:rsidRPr="00C36111">
        <w:rPr>
          <w:rFonts w:cs="Arial"/>
          <w:sz w:val="24"/>
          <w:szCs w:val="24"/>
        </w:rPr>
        <w:t>. Hoy se presenta como herramienta</w:t>
      </w:r>
      <w:r>
        <w:rPr>
          <w:rFonts w:cs="Arial"/>
          <w:sz w:val="24"/>
          <w:szCs w:val="24"/>
        </w:rPr>
        <w:t>s combinables,</w:t>
      </w:r>
      <w:r w:rsidRPr="00C36111">
        <w:rPr>
          <w:rFonts w:cs="Arial"/>
          <w:sz w:val="24"/>
          <w:szCs w:val="24"/>
        </w:rPr>
        <w:t xml:space="preserve"> con la expectativa de contribuir a la armonización de políticas, a la conciliación entre técnica y política, entre saber y poder como una herramienta para lidiar con la incertidumbre, la fragmentación y la turbulencia en contextos</w:t>
      </w:r>
      <w:r>
        <w:rPr>
          <w:rFonts w:cs="Arial"/>
          <w:sz w:val="24"/>
          <w:szCs w:val="24"/>
        </w:rPr>
        <w:t xml:space="preserve"> complejos, como una herramienta para la toma de decisiones.</w:t>
      </w:r>
    </w:p>
    <w:p w:rsidR="007E0190" w:rsidRPr="00C36111" w:rsidRDefault="007E0190" w:rsidP="007E01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Política Social ha experimentado una progresiva tecnificación, no siempre acompañada de una adecuada articulación con el mundo de los actores sociales, con contextos nacionales e internacionales cambiantes y bruscos cambios de política.</w:t>
      </w: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Objetivos</w:t>
      </w:r>
    </w:p>
    <w:p w:rsidR="007E0190" w:rsidRPr="007E0190" w:rsidRDefault="007E0190" w:rsidP="007E0190">
      <w:pPr>
        <w:numPr>
          <w:ilvl w:val="0"/>
          <w:numId w:val="2"/>
        </w:numPr>
        <w:spacing w:line="240" w:lineRule="auto"/>
        <w:jc w:val="both"/>
        <w:rPr>
          <w:b/>
          <w:i/>
          <w:color w:val="000000"/>
          <w:sz w:val="24"/>
          <w:szCs w:val="24"/>
        </w:rPr>
      </w:pPr>
      <w:r w:rsidRPr="007E0190">
        <w:rPr>
          <w:color w:val="000000"/>
          <w:sz w:val="24"/>
          <w:szCs w:val="24"/>
        </w:rPr>
        <w:t>Analizar los supuestos teóricos de la planificación aplicada a las políticas y  programas sociales con una perspectiva estratégica articulados en un marco de reformas sistemáticas.</w:t>
      </w:r>
    </w:p>
    <w:p w:rsidR="007E0190" w:rsidRPr="007E0190" w:rsidRDefault="007E0190" w:rsidP="007E0190">
      <w:pPr>
        <w:numPr>
          <w:ilvl w:val="0"/>
          <w:numId w:val="2"/>
        </w:numPr>
        <w:spacing w:line="240" w:lineRule="auto"/>
        <w:jc w:val="both"/>
        <w:rPr>
          <w:b/>
          <w:color w:val="000000"/>
          <w:sz w:val="24"/>
          <w:szCs w:val="24"/>
        </w:rPr>
      </w:pPr>
      <w:r w:rsidRPr="007E0190">
        <w:rPr>
          <w:color w:val="000000"/>
          <w:sz w:val="24"/>
          <w:szCs w:val="24"/>
        </w:rPr>
        <w:t>Profundizar en elementos conceptuales de planificación estratégica, pensamiento estratégico y desarrollos metodológicos aplicados a situaciones concretas de la política social en el país.</w:t>
      </w:r>
    </w:p>
    <w:p w:rsidR="007E0190" w:rsidRPr="007E0190" w:rsidRDefault="007E0190" w:rsidP="007E0190">
      <w:pPr>
        <w:numPr>
          <w:ilvl w:val="0"/>
          <w:numId w:val="2"/>
        </w:numPr>
        <w:spacing w:line="240" w:lineRule="auto"/>
        <w:jc w:val="both"/>
        <w:rPr>
          <w:b/>
          <w:color w:val="000000"/>
          <w:sz w:val="24"/>
          <w:szCs w:val="24"/>
        </w:rPr>
      </w:pPr>
      <w:r w:rsidRPr="007E0190">
        <w:rPr>
          <w:color w:val="000000"/>
          <w:sz w:val="24"/>
          <w:szCs w:val="24"/>
        </w:rPr>
        <w:t xml:space="preserve">Reflexionar acerca de los diferentes momentos de la planificación y su posible adecuación a diferentes realidades y a diferentes actores sociales. </w:t>
      </w: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Unidades</w:t>
      </w:r>
    </w:p>
    <w:p w:rsidR="007E0190" w:rsidRPr="007E0190" w:rsidRDefault="001A5117" w:rsidP="007E0190">
      <w:pPr>
        <w:pStyle w:val="Heading1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 xml:space="preserve">Unidad 1. </w:t>
      </w:r>
      <w:r w:rsidR="007E0190" w:rsidRPr="005134D2">
        <w:rPr>
          <w:rFonts w:cs="Arial"/>
          <w:bCs/>
          <w:sz w:val="24"/>
          <w:szCs w:val="24"/>
        </w:rPr>
        <w:t>La naturaleza del campo de estudio y de las herramientas de intervención</w:t>
      </w:r>
    </w:p>
    <w:p w:rsidR="007E0190" w:rsidRPr="005134D2" w:rsidRDefault="007E0190" w:rsidP="007E0190">
      <w:pPr>
        <w:rPr>
          <w:rFonts w:cs="Arial"/>
          <w:sz w:val="24"/>
          <w:szCs w:val="24"/>
          <w:lang w:val="es-MX"/>
        </w:rPr>
      </w:pPr>
      <w:r w:rsidRPr="005134D2">
        <w:rPr>
          <w:rFonts w:cs="Arial"/>
          <w:sz w:val="24"/>
          <w:szCs w:val="24"/>
          <w:lang w:val="es-MX"/>
        </w:rPr>
        <w:t>Historia de la planificación, aportes y Conceptualización. Campo, actores sociales, disputa y conflicto, conflictividad social y la conflictividad de lo social como campo construido.</w:t>
      </w:r>
    </w:p>
    <w:p w:rsidR="00F2149E" w:rsidRPr="007E0190" w:rsidRDefault="007E0190" w:rsidP="007E0190">
      <w:pPr>
        <w:rPr>
          <w:rFonts w:cs="Arial"/>
          <w:sz w:val="24"/>
          <w:szCs w:val="24"/>
          <w:lang w:val="es-MX"/>
        </w:rPr>
      </w:pPr>
      <w:r w:rsidRPr="005134D2">
        <w:rPr>
          <w:rFonts w:cs="Arial"/>
          <w:sz w:val="24"/>
          <w:szCs w:val="24"/>
          <w:lang w:val="es-MX"/>
        </w:rPr>
        <w:t>Fragmentación de la institucionalidad estatal, diversos sectores, diversas jurisdicciones,  las organizaciones de la Sociedad Civil, diversidad de actores, diversidad de lógicas de intervención.</w:t>
      </w:r>
    </w:p>
    <w:p w:rsidR="007E0190" w:rsidRPr="007E0190" w:rsidRDefault="001A5117" w:rsidP="007E0190">
      <w:pPr>
        <w:pStyle w:val="Heading1"/>
        <w:rPr>
          <w:rFonts w:cs="Arial"/>
          <w:bCs/>
          <w:sz w:val="24"/>
          <w:szCs w:val="24"/>
        </w:rPr>
      </w:pPr>
      <w:r>
        <w:rPr>
          <w:sz w:val="24"/>
          <w:szCs w:val="24"/>
        </w:rPr>
        <w:t>Unidad 2.</w:t>
      </w:r>
      <w:r w:rsidR="007E0190" w:rsidRPr="005134D2">
        <w:rPr>
          <w:rFonts w:cs="Arial"/>
          <w:bCs/>
          <w:sz w:val="24"/>
          <w:szCs w:val="24"/>
        </w:rPr>
        <w:t>Los soportes organizacionales</w:t>
      </w:r>
    </w:p>
    <w:p w:rsidR="00F2149E" w:rsidRPr="007E0190" w:rsidRDefault="007E0190" w:rsidP="007E0190">
      <w:pPr>
        <w:rPr>
          <w:rFonts w:cs="Arial"/>
          <w:sz w:val="24"/>
          <w:szCs w:val="24"/>
          <w:lang w:val="es-MX"/>
        </w:rPr>
      </w:pPr>
      <w:r w:rsidRPr="005134D2">
        <w:rPr>
          <w:rFonts w:cs="Arial"/>
          <w:sz w:val="24"/>
          <w:szCs w:val="24"/>
          <w:lang w:val="es-MX"/>
        </w:rPr>
        <w:t xml:space="preserve">Planificación y gestión. La prevalencia de los modelos jerárquico-burocráticos., Las redes como contra-modelo Redes sociales y redes institucionales, Lo que une y lo que separa al </w:t>
      </w:r>
      <w:r w:rsidRPr="005134D2">
        <w:rPr>
          <w:rFonts w:cs="Arial"/>
          <w:sz w:val="24"/>
          <w:szCs w:val="24"/>
          <w:lang w:val="es-MX"/>
        </w:rPr>
        <w:lastRenderedPageBreak/>
        <w:t>archipiélago de programas, proyectos, jurisdicciones e instituciones. Las articulaciones posibles. Formas de interpretar y de actuar en la diversidad y la complejidad</w:t>
      </w:r>
    </w:p>
    <w:p w:rsidR="007E0190" w:rsidRPr="007E0190" w:rsidRDefault="001A5117" w:rsidP="007E0190">
      <w:pPr>
        <w:pStyle w:val="Heading1"/>
        <w:rPr>
          <w:rFonts w:cs="Arial"/>
          <w:sz w:val="24"/>
          <w:szCs w:val="24"/>
        </w:rPr>
      </w:pPr>
      <w:r>
        <w:rPr>
          <w:sz w:val="24"/>
          <w:szCs w:val="24"/>
        </w:rPr>
        <w:t>Unidad 3.</w:t>
      </w:r>
      <w:r w:rsidR="007E0190" w:rsidRPr="005134D2">
        <w:rPr>
          <w:rFonts w:cs="Arial"/>
          <w:sz w:val="24"/>
          <w:szCs w:val="24"/>
        </w:rPr>
        <w:t>Las perspectivas de análisis e intervención</w:t>
      </w:r>
    </w:p>
    <w:p w:rsidR="007E0190" w:rsidRPr="005134D2" w:rsidRDefault="007E0190" w:rsidP="007E0190">
      <w:pPr>
        <w:rPr>
          <w:rFonts w:cs="Arial"/>
          <w:sz w:val="24"/>
          <w:szCs w:val="24"/>
          <w:lang w:val="es-MX"/>
        </w:rPr>
      </w:pPr>
      <w:r w:rsidRPr="005134D2">
        <w:rPr>
          <w:rFonts w:cs="Arial"/>
          <w:sz w:val="24"/>
          <w:szCs w:val="24"/>
          <w:lang w:val="es-MX"/>
        </w:rPr>
        <w:t xml:space="preserve">El pensamiento estratégico, sus rasgos y características, el tratamiento del tiempo y del espacio, la emergencia del sujeto, las tensiones y reforzamientos entre saber y poder. Desarmando discursos instituidos, desencadenando procesos en lo social. </w:t>
      </w:r>
    </w:p>
    <w:p w:rsidR="00F2149E" w:rsidRDefault="00F2149E">
      <w:pPr>
        <w:spacing w:line="240" w:lineRule="auto"/>
        <w:jc w:val="both"/>
        <w:rPr>
          <w:sz w:val="24"/>
          <w:szCs w:val="24"/>
        </w:rPr>
      </w:pPr>
    </w:p>
    <w:p w:rsidR="00CB6086" w:rsidRPr="00CB6086" w:rsidRDefault="001A5117" w:rsidP="00CB6086">
      <w:pPr>
        <w:pStyle w:val="Heading1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Unidad 4. </w:t>
      </w:r>
      <w:r w:rsidR="00CB6086">
        <w:rPr>
          <w:sz w:val="24"/>
          <w:szCs w:val="24"/>
        </w:rPr>
        <w:tab/>
      </w:r>
      <w:r w:rsidR="00CB6086" w:rsidRPr="005134D2">
        <w:rPr>
          <w:rFonts w:cs="Arial"/>
          <w:sz w:val="24"/>
          <w:szCs w:val="24"/>
        </w:rPr>
        <w:t>Estado y Sociedad, cuando no hay empleo</w:t>
      </w:r>
      <w:r w:rsidR="00CB6086">
        <w:rPr>
          <w:rFonts w:cs="Arial"/>
          <w:sz w:val="24"/>
          <w:szCs w:val="24"/>
        </w:rPr>
        <w:t>.</w:t>
      </w:r>
    </w:p>
    <w:p w:rsidR="00CB6086" w:rsidRPr="005134D2" w:rsidRDefault="00CB6086" w:rsidP="00CB6086">
      <w:pPr>
        <w:rPr>
          <w:rFonts w:cs="Arial"/>
          <w:sz w:val="24"/>
          <w:szCs w:val="24"/>
          <w:lang w:val="es-MX"/>
        </w:rPr>
      </w:pPr>
      <w:r w:rsidRPr="005134D2">
        <w:rPr>
          <w:rFonts w:cs="Arial"/>
          <w:sz w:val="24"/>
          <w:szCs w:val="24"/>
          <w:lang w:val="es-MX"/>
        </w:rPr>
        <w:t>La reforma del Estado, una necesidad para el tratamiento de la nueva cuestión social. Las rigideces y las capacidades desaprovechadas de la Administración Pública, los recursos humanos la ausencia de una política es una política. Calidad centrada en el ciudadano y empoderamiento nuevas perspectivas para la gestión de lo público.</w:t>
      </w:r>
    </w:p>
    <w:p w:rsidR="004E4DE8" w:rsidRPr="004E4DE8" w:rsidRDefault="004E4DE8" w:rsidP="004E4DE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Unidad</w:t>
      </w:r>
      <w:r w:rsidRPr="004E4DE8">
        <w:rPr>
          <w:sz w:val="24"/>
          <w:szCs w:val="24"/>
        </w:rPr>
        <w:t xml:space="preserve"> 5. Constituyendo actores sociales complejos </w:t>
      </w:r>
    </w:p>
    <w:p w:rsidR="004E4DE8" w:rsidRPr="004E4DE8" w:rsidRDefault="004E4DE8" w:rsidP="004E4DE8">
      <w:pPr>
        <w:rPr>
          <w:rFonts w:cs="Arial"/>
          <w:sz w:val="24"/>
          <w:szCs w:val="24"/>
          <w:lang w:val="es-MX"/>
        </w:rPr>
      </w:pPr>
      <w:r w:rsidRPr="004E4DE8">
        <w:rPr>
          <w:rFonts w:cs="Arial"/>
          <w:sz w:val="24"/>
          <w:szCs w:val="24"/>
          <w:lang w:val="es-MX"/>
        </w:rPr>
        <w:t xml:space="preserve">Actor, agencia y sujeto, los Consejos sociales locales, el dialogo social, los espacios de articulación como sujetos y como arenas de la articulación de visiones diferentes de la sociedad. Los planes estratégicos y las ciudades como protagonistas, construcción inter- subjetiva. </w:t>
      </w:r>
    </w:p>
    <w:p w:rsidR="004E4DE8" w:rsidRPr="004E4DE8" w:rsidRDefault="004E4DE8" w:rsidP="004E4DE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Unidad</w:t>
      </w:r>
      <w:r w:rsidRPr="004E4DE8">
        <w:rPr>
          <w:sz w:val="24"/>
          <w:szCs w:val="24"/>
        </w:rPr>
        <w:t xml:space="preserve"> 6</w:t>
      </w:r>
      <w:r>
        <w:rPr>
          <w:sz w:val="24"/>
          <w:szCs w:val="24"/>
        </w:rPr>
        <w:t>.</w:t>
      </w:r>
      <w:r w:rsidRPr="004E4DE8">
        <w:rPr>
          <w:sz w:val="24"/>
          <w:szCs w:val="24"/>
        </w:rPr>
        <w:t xml:space="preserve"> Construyendo metodologías abiertas </w:t>
      </w:r>
    </w:p>
    <w:p w:rsidR="004E4DE8" w:rsidRPr="004E4DE8" w:rsidRDefault="004E4DE8" w:rsidP="004E4DE8">
      <w:pPr>
        <w:rPr>
          <w:rFonts w:cs="Arial"/>
          <w:sz w:val="24"/>
          <w:szCs w:val="24"/>
          <w:lang w:val="es-MX"/>
        </w:rPr>
      </w:pPr>
      <w:r w:rsidRPr="004E4DE8">
        <w:rPr>
          <w:rFonts w:cs="Arial"/>
          <w:sz w:val="24"/>
          <w:szCs w:val="24"/>
          <w:lang w:val="es-MX"/>
        </w:rPr>
        <w:t xml:space="preserve">Momentos de la Planificación estratégica, un mapa conceptual, criterios: análisis de situa- ción, investigación de problemas, identificación de una visión, diseño de programas y pro- yectos, Construcción de viabilidad, programa táctico operativo. Esta unidad tendrá un desarrollo transversal a través de la materia. </w:t>
      </w:r>
    </w:p>
    <w:p w:rsidR="004E4DE8" w:rsidRPr="004E4DE8" w:rsidRDefault="004E4DE8" w:rsidP="004E4DE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Unidad</w:t>
      </w:r>
      <w:r w:rsidRPr="004E4DE8">
        <w:rPr>
          <w:sz w:val="24"/>
          <w:szCs w:val="24"/>
        </w:rPr>
        <w:t xml:space="preserve"> 7. La programación general y la programación detallada, la lógica de proyectos </w:t>
      </w:r>
    </w:p>
    <w:p w:rsidR="004E4DE8" w:rsidRPr="004E4DE8" w:rsidRDefault="004E4DE8" w:rsidP="004E4DE8">
      <w:pPr>
        <w:rPr>
          <w:rFonts w:cs="Arial"/>
          <w:sz w:val="24"/>
          <w:szCs w:val="24"/>
          <w:lang w:val="es-MX"/>
        </w:rPr>
      </w:pPr>
      <w:r w:rsidRPr="004E4DE8">
        <w:rPr>
          <w:rFonts w:cs="Arial"/>
          <w:sz w:val="24"/>
          <w:szCs w:val="24"/>
          <w:lang w:val="es-MX"/>
        </w:rPr>
        <w:t xml:space="preserve">Concepto de programa y proyectos sociales. Incorporación de la lógica proyectistas y los organismos internacionales. Diseño, ejecución y evaluación de programas y proyectos sociales. </w:t>
      </w:r>
    </w:p>
    <w:p w:rsidR="004E4DE8" w:rsidRPr="004E4DE8" w:rsidRDefault="004E4DE8" w:rsidP="004E4DE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Unidad </w:t>
      </w:r>
      <w:r w:rsidRPr="004E4DE8">
        <w:rPr>
          <w:sz w:val="24"/>
          <w:szCs w:val="24"/>
        </w:rPr>
        <w:t xml:space="preserve">8. Los organismos internacionales como actores de la política doméstica </w:t>
      </w:r>
    </w:p>
    <w:p w:rsidR="004E4DE8" w:rsidRPr="004E4DE8" w:rsidRDefault="004E4DE8" w:rsidP="004E4DE8">
      <w:pPr>
        <w:rPr>
          <w:rFonts w:cs="Arial"/>
          <w:sz w:val="24"/>
          <w:szCs w:val="24"/>
          <w:lang w:val="es-MX"/>
        </w:rPr>
      </w:pPr>
      <w:r w:rsidRPr="004E4DE8">
        <w:rPr>
          <w:rFonts w:cs="Arial"/>
          <w:sz w:val="24"/>
          <w:szCs w:val="24"/>
          <w:lang w:val="es-MX"/>
        </w:rPr>
        <w:t xml:space="preserve">Reformas del Estado. Organismos Internacionales, construcción de influencia, las condicionalidades, las misiones de evaluación, actores, roles e influencias. Construcción de opciones </w:t>
      </w:r>
    </w:p>
    <w:p w:rsidR="00F2149E" w:rsidRDefault="00F2149E">
      <w:pPr>
        <w:spacing w:line="240" w:lineRule="auto"/>
        <w:jc w:val="both"/>
        <w:rPr>
          <w:b/>
          <w:sz w:val="28"/>
          <w:szCs w:val="28"/>
        </w:rPr>
      </w:pP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Bibliografía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Rovere</w:t>
      </w:r>
      <w:r>
        <w:rPr>
          <w:sz w:val="24"/>
          <w:szCs w:val="24"/>
          <w:lang w:val="es-MX"/>
        </w:rPr>
        <w:t>,</w:t>
      </w:r>
      <w:r w:rsidRPr="00CB6086">
        <w:rPr>
          <w:sz w:val="24"/>
          <w:szCs w:val="24"/>
          <w:lang w:val="es-MX"/>
        </w:rPr>
        <w:t xml:space="preserve"> M. 2003</w:t>
      </w:r>
      <w:r>
        <w:rPr>
          <w:sz w:val="24"/>
          <w:szCs w:val="24"/>
          <w:lang w:val="es-MX"/>
        </w:rPr>
        <w:t xml:space="preserve">. </w:t>
      </w:r>
      <w:r w:rsidRPr="00CB6086">
        <w:rPr>
          <w:sz w:val="24"/>
          <w:szCs w:val="24"/>
          <w:lang w:val="es-MX"/>
        </w:rPr>
        <w:t>La Ciudad como Sujeto Revista La Gran Ciudad Separata</w:t>
      </w:r>
      <w:r>
        <w:rPr>
          <w:sz w:val="24"/>
          <w:szCs w:val="24"/>
          <w:lang w:val="es-MX"/>
        </w:rPr>
        <w:t>.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Rovere</w:t>
      </w:r>
      <w:r>
        <w:rPr>
          <w:sz w:val="24"/>
          <w:szCs w:val="24"/>
          <w:lang w:val="es-MX"/>
        </w:rPr>
        <w:t>,</w:t>
      </w:r>
      <w:r w:rsidRPr="00CB6086">
        <w:rPr>
          <w:sz w:val="24"/>
          <w:szCs w:val="24"/>
          <w:lang w:val="es-MX"/>
        </w:rPr>
        <w:t xml:space="preserve"> M. 1999</w:t>
      </w:r>
      <w:r>
        <w:rPr>
          <w:sz w:val="24"/>
          <w:szCs w:val="24"/>
          <w:lang w:val="es-MX"/>
        </w:rPr>
        <w:t xml:space="preserve">. </w:t>
      </w:r>
      <w:r w:rsidRPr="00CB6086">
        <w:rPr>
          <w:sz w:val="24"/>
          <w:szCs w:val="24"/>
          <w:lang w:val="es-MX"/>
        </w:rPr>
        <w:t>Planificación Estratégica en Salud; acompañando la democratización de un sector en Crisis Cuadernos Médico Sociales No 75</w:t>
      </w:r>
      <w:r>
        <w:rPr>
          <w:sz w:val="24"/>
          <w:szCs w:val="24"/>
          <w:lang w:val="es-MX"/>
        </w:rPr>
        <w:t>;</w:t>
      </w:r>
      <w:r w:rsidRPr="00CB6086">
        <w:rPr>
          <w:sz w:val="24"/>
          <w:szCs w:val="24"/>
          <w:lang w:val="es-MX"/>
        </w:rPr>
        <w:t xml:space="preserve"> Rosario</w:t>
      </w:r>
      <w:r>
        <w:rPr>
          <w:sz w:val="24"/>
          <w:szCs w:val="24"/>
          <w:lang w:val="es-MX"/>
        </w:rPr>
        <w:t>.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Matus</w:t>
      </w:r>
      <w:r>
        <w:rPr>
          <w:sz w:val="24"/>
          <w:szCs w:val="24"/>
          <w:lang w:val="es-MX"/>
        </w:rPr>
        <w:t>,</w:t>
      </w:r>
      <w:r w:rsidRPr="00CB6086">
        <w:rPr>
          <w:sz w:val="24"/>
          <w:szCs w:val="24"/>
          <w:lang w:val="es-MX"/>
        </w:rPr>
        <w:t xml:space="preserve"> C. S/D Planificación en situaciones de poder compartido. Mimeo. 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Boissier</w:t>
      </w:r>
      <w:r>
        <w:rPr>
          <w:sz w:val="24"/>
          <w:szCs w:val="24"/>
          <w:lang w:val="es-MX"/>
        </w:rPr>
        <w:t>,</w:t>
      </w:r>
      <w:r w:rsidRPr="00CB6086">
        <w:rPr>
          <w:sz w:val="24"/>
          <w:szCs w:val="24"/>
          <w:lang w:val="es-MX"/>
        </w:rPr>
        <w:t xml:space="preserve"> S. 1998</w:t>
      </w:r>
      <w:r>
        <w:rPr>
          <w:sz w:val="24"/>
          <w:szCs w:val="24"/>
          <w:lang w:val="es-MX"/>
        </w:rPr>
        <w:t xml:space="preserve">. </w:t>
      </w:r>
      <w:r w:rsidRPr="00CB6086">
        <w:rPr>
          <w:sz w:val="24"/>
          <w:szCs w:val="24"/>
          <w:lang w:val="es-MX"/>
        </w:rPr>
        <w:t xml:space="preserve">Post scriptum sobre el desarrollo regional: modelos reales y modelos mentales. Documento 98/25. Serie Ensayos. Dirección de Políticas y Planificación Regionales. ILPES. 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Bustelo, E</w:t>
      </w:r>
      <w:r>
        <w:rPr>
          <w:sz w:val="24"/>
          <w:szCs w:val="24"/>
          <w:lang w:val="es-MX"/>
        </w:rPr>
        <w:t>.</w:t>
      </w:r>
      <w:r w:rsidRPr="00CB6086">
        <w:rPr>
          <w:sz w:val="24"/>
          <w:szCs w:val="24"/>
          <w:lang w:val="es-MX"/>
        </w:rPr>
        <w:t xml:space="preserve"> Planificación Social, Del rompecabezas al “abrecabezas”. En: Cuaderno de Ciencias Sociales nº 92. Programa Costa Rica. FLACSO.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Rovere</w:t>
      </w:r>
      <w:r>
        <w:rPr>
          <w:sz w:val="24"/>
          <w:szCs w:val="24"/>
          <w:lang w:val="es-MX"/>
        </w:rPr>
        <w:t>,</w:t>
      </w:r>
      <w:r w:rsidRPr="00CB6086">
        <w:rPr>
          <w:sz w:val="24"/>
          <w:szCs w:val="24"/>
          <w:lang w:val="es-MX"/>
        </w:rPr>
        <w:t xml:space="preserve"> M. 2017</w:t>
      </w:r>
      <w:r>
        <w:rPr>
          <w:sz w:val="24"/>
          <w:szCs w:val="24"/>
          <w:lang w:val="es-MX"/>
        </w:rPr>
        <w:t xml:space="preserve">. </w:t>
      </w:r>
      <w:r w:rsidRPr="00CB6086">
        <w:rPr>
          <w:sz w:val="24"/>
          <w:szCs w:val="24"/>
          <w:lang w:val="es-MX"/>
        </w:rPr>
        <w:t>Redes Nómades 3ra Edición pub El Agora</w:t>
      </w:r>
      <w:r>
        <w:rPr>
          <w:sz w:val="24"/>
          <w:szCs w:val="24"/>
          <w:lang w:val="es-MX"/>
        </w:rPr>
        <w:t>;</w:t>
      </w:r>
      <w:r w:rsidRPr="00CB6086">
        <w:rPr>
          <w:sz w:val="24"/>
          <w:szCs w:val="24"/>
          <w:lang w:val="es-MX"/>
        </w:rPr>
        <w:t xml:space="preserve"> Buenos Aires.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Rovere</w:t>
      </w:r>
      <w:r>
        <w:rPr>
          <w:sz w:val="24"/>
          <w:szCs w:val="24"/>
          <w:lang w:val="es-MX"/>
        </w:rPr>
        <w:t>,</w:t>
      </w:r>
      <w:r w:rsidRPr="00CB6086">
        <w:rPr>
          <w:sz w:val="24"/>
          <w:szCs w:val="24"/>
          <w:lang w:val="es-MX"/>
        </w:rPr>
        <w:t xml:space="preserve"> M. 1997</w:t>
      </w:r>
      <w:r>
        <w:rPr>
          <w:sz w:val="24"/>
          <w:szCs w:val="24"/>
          <w:lang w:val="es-MX"/>
        </w:rPr>
        <w:t xml:space="preserve">. </w:t>
      </w:r>
      <w:r w:rsidRPr="00CB6086">
        <w:rPr>
          <w:sz w:val="24"/>
          <w:szCs w:val="24"/>
          <w:lang w:val="es-MX"/>
        </w:rPr>
        <w:t>Gestión de Redes Clase desgrabada del Curso de Política Social SIEMPRO</w:t>
      </w:r>
      <w:r>
        <w:rPr>
          <w:sz w:val="24"/>
          <w:szCs w:val="24"/>
          <w:lang w:val="es-MX"/>
        </w:rPr>
        <w:t>;</w:t>
      </w:r>
      <w:r w:rsidRPr="00CB6086">
        <w:rPr>
          <w:sz w:val="24"/>
          <w:szCs w:val="24"/>
          <w:lang w:val="es-MX"/>
        </w:rPr>
        <w:t xml:space="preserve"> Mendoza.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Matus, C. 1998. PES. Planificación Estratégica Situacional. Teoría y Ejercicios. Fundación Altadir.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Rovere, M</w:t>
      </w:r>
      <w:r>
        <w:rPr>
          <w:sz w:val="24"/>
          <w:szCs w:val="24"/>
          <w:lang w:val="es-MX"/>
        </w:rPr>
        <w:t>.</w:t>
      </w:r>
      <w:r w:rsidRPr="00CB6086">
        <w:rPr>
          <w:sz w:val="24"/>
          <w:szCs w:val="24"/>
          <w:lang w:val="es-MX"/>
        </w:rPr>
        <w:t xml:space="preserve"> 2006. Planificación estratégica de recursos humanos en salud. Capítulo II – Una teoría muy práctica.  Serie Desarrollo de Recursos Humanos Nº 96. OPS.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SIEMPRO. Módulo II: Planificación estratégica de políticas y programas sociales. Curso Semipresencial de Política y Gerencia Social. Unidad 1.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 xml:space="preserve">Mannheim, K. Ideología y Utopía. Capítulo III    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 xml:space="preserve">Mannheim, K. 1982. Libertad, Poder y Planificación Democrática. Fondo de Cultura Económica. Primera Edición 1950. Prólogo, Nota sobre la Obra de 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 xml:space="preserve">Foucault, </w:t>
      </w:r>
      <w:r>
        <w:rPr>
          <w:sz w:val="24"/>
          <w:szCs w:val="24"/>
          <w:lang w:val="es-MX"/>
        </w:rPr>
        <w:t>M</w:t>
      </w:r>
      <w:r w:rsidRPr="00CB6086">
        <w:rPr>
          <w:sz w:val="24"/>
          <w:szCs w:val="24"/>
          <w:lang w:val="es-MX"/>
        </w:rPr>
        <w:t>. 1978. La verdad y las formas jurídicas. Primera conferencia. Gedisa Editoral. Barcelona.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Foucault, M. 1984. El Sujeto y el Poder.</w:t>
      </w:r>
    </w:p>
    <w:p w:rsidR="00CB6086" w:rsidRPr="00CB6086" w:rsidRDefault="00CB6086" w:rsidP="00CB6086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Foucault, M.  Las redes del poder. Una introducción a la vida no fascista. Editorial Almagesto</w:t>
      </w:r>
      <w:r>
        <w:rPr>
          <w:sz w:val="24"/>
          <w:szCs w:val="24"/>
          <w:lang w:val="es-MX"/>
        </w:rPr>
        <w:t>;</w:t>
      </w:r>
      <w:r w:rsidRPr="00CB6086">
        <w:rPr>
          <w:sz w:val="24"/>
          <w:szCs w:val="24"/>
          <w:lang w:val="es-MX"/>
        </w:rPr>
        <w:t xml:space="preserve"> Buenos Aires.</w:t>
      </w:r>
    </w:p>
    <w:p w:rsidR="004E4DE8" w:rsidRDefault="00CB6086" w:rsidP="004E4DE8">
      <w:pPr>
        <w:spacing w:line="240" w:lineRule="auto"/>
        <w:jc w:val="both"/>
        <w:rPr>
          <w:sz w:val="24"/>
          <w:szCs w:val="24"/>
          <w:lang w:val="es-MX"/>
        </w:rPr>
      </w:pPr>
      <w:r w:rsidRPr="00CB6086">
        <w:rPr>
          <w:sz w:val="24"/>
          <w:szCs w:val="24"/>
          <w:lang w:val="es-MX"/>
        </w:rPr>
        <w:t>Deleuze, G</w:t>
      </w:r>
      <w:r>
        <w:rPr>
          <w:sz w:val="24"/>
          <w:szCs w:val="24"/>
          <w:lang w:val="es-MX"/>
        </w:rPr>
        <w:t>.</w:t>
      </w:r>
      <w:r w:rsidRPr="00CB6086">
        <w:rPr>
          <w:sz w:val="24"/>
          <w:szCs w:val="24"/>
          <w:lang w:val="es-MX"/>
        </w:rPr>
        <w:t xml:space="preserve"> 1987. Foucault. Capítulo: Un nuevo cartórafo. Pág 49 a 72. Ed. Paidós Studio</w:t>
      </w:r>
      <w:r>
        <w:rPr>
          <w:sz w:val="24"/>
          <w:szCs w:val="24"/>
          <w:lang w:val="es-MX"/>
        </w:rPr>
        <w:t xml:space="preserve">; </w:t>
      </w:r>
      <w:r w:rsidRPr="00CB6086">
        <w:rPr>
          <w:sz w:val="24"/>
          <w:szCs w:val="24"/>
          <w:lang w:val="es-MX"/>
        </w:rPr>
        <w:t>Argentina.</w:t>
      </w:r>
    </w:p>
    <w:p w:rsidR="004E4DE8" w:rsidRPr="004E4DE8" w:rsidRDefault="004E4DE8" w:rsidP="004E4DE8">
      <w:p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t>Matus, C. 1987. Planificación y Gobierno. En: Revista de la CEPAL No 31. Abril de 1987.</w:t>
      </w:r>
    </w:p>
    <w:p w:rsidR="004E4DE8" w:rsidRPr="004E4DE8" w:rsidRDefault="004E4DE8" w:rsidP="004E4DE8">
      <w:p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t>Lechner, N</w:t>
      </w:r>
      <w:r>
        <w:rPr>
          <w:sz w:val="24"/>
          <w:szCs w:val="24"/>
        </w:rPr>
        <w:t>.</w:t>
      </w:r>
      <w:r w:rsidRPr="004E4DE8">
        <w:rPr>
          <w:sz w:val="24"/>
          <w:szCs w:val="24"/>
        </w:rPr>
        <w:t xml:space="preserve"> 1997. Tres formas de coordinación Social. Revista de CEPAL No 61 Abril de 1997. </w:t>
      </w:r>
    </w:p>
    <w:p w:rsidR="004E4DE8" w:rsidRPr="004E4DE8" w:rsidRDefault="004E4DE8" w:rsidP="004E4DE8">
      <w:p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t>Lechner, N. La política ya no es lo que fue. Nueva Sociedad. 144</w:t>
      </w:r>
      <w:r>
        <w:rPr>
          <w:sz w:val="24"/>
          <w:szCs w:val="24"/>
        </w:rPr>
        <w:t>;</w:t>
      </w:r>
      <w:r w:rsidRPr="004E4DE8">
        <w:rPr>
          <w:sz w:val="24"/>
          <w:szCs w:val="24"/>
        </w:rPr>
        <w:t xml:space="preserve"> Caracas. </w:t>
      </w:r>
    </w:p>
    <w:p w:rsidR="004E4DE8" w:rsidRPr="004E4DE8" w:rsidRDefault="004E4DE8" w:rsidP="004E4DE8">
      <w:p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lastRenderedPageBreak/>
        <w:t>Lechner, N. Los nuevos perfiles de la política. Un bosquejo. Nueva Sociedad</w:t>
      </w:r>
      <w:r>
        <w:rPr>
          <w:sz w:val="24"/>
          <w:szCs w:val="24"/>
        </w:rPr>
        <w:t>;</w:t>
      </w:r>
      <w:r w:rsidRPr="004E4DE8">
        <w:rPr>
          <w:sz w:val="24"/>
          <w:szCs w:val="24"/>
        </w:rPr>
        <w:t xml:space="preserve"> Caracas.</w:t>
      </w:r>
    </w:p>
    <w:p w:rsidR="004E4DE8" w:rsidRPr="004E4DE8" w:rsidRDefault="004E4DE8" w:rsidP="004E4DE8">
      <w:p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t>Rosanvallon, P</w:t>
      </w:r>
      <w:r>
        <w:rPr>
          <w:sz w:val="24"/>
          <w:szCs w:val="24"/>
        </w:rPr>
        <w:t xml:space="preserve">. </w:t>
      </w:r>
      <w:r w:rsidRPr="004E4DE8">
        <w:rPr>
          <w:sz w:val="24"/>
          <w:szCs w:val="24"/>
        </w:rPr>
        <w:t>1995. La nueva cuestión social. Capítulo VII : la individualización de lo social. Manantial. Argentina.</w:t>
      </w:r>
    </w:p>
    <w:p w:rsidR="004E4DE8" w:rsidRPr="004E4DE8" w:rsidRDefault="004E4DE8" w:rsidP="004E4DE8">
      <w:p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t>Foucault</w:t>
      </w:r>
      <w:r>
        <w:rPr>
          <w:sz w:val="24"/>
          <w:szCs w:val="24"/>
        </w:rPr>
        <w:t>, M.</w:t>
      </w:r>
      <w:r w:rsidRPr="004E4DE8">
        <w:rPr>
          <w:sz w:val="24"/>
          <w:szCs w:val="24"/>
        </w:rPr>
        <w:t xml:space="preserve"> Genealogía del Racismo. Colección Caronte Ensayos. </w:t>
      </w:r>
    </w:p>
    <w:p w:rsidR="004E4DE8" w:rsidRPr="004E4DE8" w:rsidRDefault="004E4DE8" w:rsidP="004E4DE8">
      <w:p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t xml:space="preserve">Mintzberg, H. y Quinn J. </w:t>
      </w:r>
      <w:r>
        <w:rPr>
          <w:sz w:val="24"/>
          <w:szCs w:val="24"/>
        </w:rPr>
        <w:t>B.</w:t>
      </w:r>
      <w:r w:rsidRPr="004E4DE8">
        <w:rPr>
          <w:sz w:val="24"/>
          <w:szCs w:val="24"/>
        </w:rPr>
        <w:t xml:space="preserve"> 1.993. El Proceso Estratégico. Conceptos, contextos y casos. Segunda Edición. Prentice Hall. Sección Uno: Estrategia.</w:t>
      </w:r>
    </w:p>
    <w:p w:rsidR="004E4DE8" w:rsidRPr="004E4DE8" w:rsidRDefault="004E4DE8" w:rsidP="004E4DE8">
      <w:p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t xml:space="preserve">Mintzberg, H. El safari de la estrategia. Granica. </w:t>
      </w:r>
    </w:p>
    <w:p w:rsidR="004E4DE8" w:rsidRPr="004E4DE8" w:rsidRDefault="004E4DE8" w:rsidP="004E4DE8">
      <w:pPr>
        <w:spacing w:line="240" w:lineRule="auto"/>
        <w:jc w:val="both"/>
        <w:rPr>
          <w:sz w:val="24"/>
          <w:szCs w:val="24"/>
          <w:lang w:val="es-MX"/>
        </w:rPr>
      </w:pPr>
      <w:r w:rsidRPr="004E4DE8">
        <w:rPr>
          <w:sz w:val="24"/>
          <w:szCs w:val="24"/>
          <w:lang w:val="es-MX"/>
        </w:rPr>
        <w:t xml:space="preserve">Rovere M. Siede M. coordinadores La Agencia Social; Aportes al Debate sobre las Políticas Sociales en Argentina. </w:t>
      </w:r>
    </w:p>
    <w:p w:rsidR="004E4DE8" w:rsidRPr="004E4DE8" w:rsidRDefault="004E4DE8" w:rsidP="004E4DE8">
      <w:pPr>
        <w:spacing w:line="240" w:lineRule="auto"/>
        <w:jc w:val="both"/>
        <w:rPr>
          <w:sz w:val="24"/>
          <w:szCs w:val="24"/>
          <w:lang w:val="es-MX"/>
        </w:rPr>
      </w:pPr>
      <w:r w:rsidRPr="004E4DE8">
        <w:rPr>
          <w:sz w:val="24"/>
          <w:szCs w:val="24"/>
          <w:lang w:val="es-MX"/>
        </w:rPr>
        <w:t>Rovere, M</w:t>
      </w:r>
      <w:r>
        <w:rPr>
          <w:sz w:val="24"/>
          <w:szCs w:val="24"/>
          <w:lang w:val="es-MX"/>
        </w:rPr>
        <w:t>.</w:t>
      </w:r>
      <w:r w:rsidRPr="004E4DE8">
        <w:rPr>
          <w:sz w:val="24"/>
          <w:szCs w:val="24"/>
          <w:lang w:val="es-MX"/>
        </w:rPr>
        <w:t xml:space="preserve"> 2006. Planificación estratégica de recursos humanos en salud. Capítulo IV – Construyendo metodologías abiertas. Serie Desarrollo de Recursos Humanos No 96. OPS.</w:t>
      </w:r>
    </w:p>
    <w:p w:rsidR="00F2149E" w:rsidRPr="004E4DE8" w:rsidRDefault="004E4DE8">
      <w:pPr>
        <w:spacing w:line="240" w:lineRule="auto"/>
        <w:jc w:val="both"/>
        <w:rPr>
          <w:b/>
          <w:sz w:val="28"/>
          <w:szCs w:val="28"/>
        </w:rPr>
      </w:pPr>
      <w:r w:rsidRPr="004E4DE8">
        <w:rPr>
          <w:sz w:val="24"/>
          <w:szCs w:val="24"/>
          <w:lang w:val="es-MX"/>
        </w:rPr>
        <w:t>Testa, M. Pensamiento estratégico y Lógica de Programación. Lugar editorial. Buenos Aires.</w:t>
      </w:r>
      <w:r w:rsidRPr="004E4DE8">
        <w:rPr>
          <w:sz w:val="24"/>
          <w:szCs w:val="24"/>
          <w:lang w:val="es-MX"/>
        </w:rPr>
        <w:br/>
      </w:r>
    </w:p>
    <w:p w:rsidR="00F2149E" w:rsidRDefault="001A511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 de cursada y evaluación</w:t>
      </w:r>
    </w:p>
    <w:p w:rsidR="004E4DE8" w:rsidRDefault="004E4D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Trabajo Final:</w:t>
      </w:r>
    </w:p>
    <w:p w:rsidR="004E4DE8" w:rsidRPr="004E4DE8" w:rsidRDefault="004E4DE8" w:rsidP="004E4DE8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t xml:space="preserve">La realización de un trabajo en tono de ensayo de entre 8 y 10 páginas sobre uno o mas componentes de la materia y sus posibles aplicaciones a la política social. </w:t>
      </w:r>
    </w:p>
    <w:p w:rsidR="004E4DE8" w:rsidRPr="004E4DE8" w:rsidRDefault="004E4DE8" w:rsidP="004E4DE8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t xml:space="preserve">Con la misma extensión la realización de una propuesta de intervención frente a un problema social consistirá en una aplicación de los momentos de planificación estratégica. </w:t>
      </w:r>
    </w:p>
    <w:p w:rsidR="00F2149E" w:rsidRPr="004E4DE8" w:rsidRDefault="004E4DE8" w:rsidP="004E4DE8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E4DE8">
        <w:rPr>
          <w:sz w:val="24"/>
          <w:szCs w:val="24"/>
        </w:rPr>
        <w:t xml:space="preserve">Un ensayo sobre fundamentos de la Planificación vinculado a la profesión de base del alumno y su posible aplicación a un aspecto o dimensión de la política social. </w:t>
      </w:r>
    </w:p>
    <w:sectPr w:rsidR="00F2149E" w:rsidRPr="004E4DE8" w:rsidSect="00693B0B">
      <w:type w:val="continuous"/>
      <w:pgSz w:w="11906" w:h="16838"/>
      <w:pgMar w:top="1985" w:right="1701" w:bottom="1417" w:left="1701" w:header="568" w:footer="708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44" w:rsidRDefault="00237B44">
      <w:pPr>
        <w:spacing w:after="0" w:line="240" w:lineRule="auto"/>
      </w:pPr>
      <w:r>
        <w:separator/>
      </w:r>
    </w:p>
  </w:endnote>
  <w:endnote w:type="continuationSeparator" w:id="1">
    <w:p w:rsidR="00237B44" w:rsidRDefault="0023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44" w:rsidRDefault="00237B44">
      <w:pPr>
        <w:spacing w:after="0" w:line="240" w:lineRule="auto"/>
      </w:pPr>
      <w:r>
        <w:separator/>
      </w:r>
    </w:p>
  </w:footnote>
  <w:footnote w:type="continuationSeparator" w:id="1">
    <w:p w:rsidR="00237B44" w:rsidRDefault="0023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9E" w:rsidRDefault="001A5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-813434</wp:posOffset>
          </wp:positionH>
          <wp:positionV relativeFrom="paragraph">
            <wp:posOffset>77470</wp:posOffset>
          </wp:positionV>
          <wp:extent cx="7089140" cy="760266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9140" cy="760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49E" w:rsidRDefault="00F214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00F"/>
    <w:multiLevelType w:val="multilevel"/>
    <w:tmpl w:val="3C54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A6B25"/>
    <w:multiLevelType w:val="singleLevel"/>
    <w:tmpl w:val="EFD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620E044A"/>
    <w:multiLevelType w:val="multilevel"/>
    <w:tmpl w:val="580E9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49E"/>
    <w:rsid w:val="0011277F"/>
    <w:rsid w:val="001A5117"/>
    <w:rsid w:val="001C2BF0"/>
    <w:rsid w:val="00237B44"/>
    <w:rsid w:val="003D4A1A"/>
    <w:rsid w:val="004E4DE8"/>
    <w:rsid w:val="00635BE8"/>
    <w:rsid w:val="00693B0B"/>
    <w:rsid w:val="006A7DF4"/>
    <w:rsid w:val="00772843"/>
    <w:rsid w:val="007E0190"/>
    <w:rsid w:val="008E6B71"/>
    <w:rsid w:val="00990126"/>
    <w:rsid w:val="009A2FD5"/>
    <w:rsid w:val="00A10100"/>
    <w:rsid w:val="00A25679"/>
    <w:rsid w:val="00B8179D"/>
    <w:rsid w:val="00CB6086"/>
    <w:rsid w:val="00CF6B16"/>
    <w:rsid w:val="00D26B1E"/>
    <w:rsid w:val="00F2149E"/>
    <w:rsid w:val="00F30FD9"/>
    <w:rsid w:val="00F6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3B0B"/>
  </w:style>
  <w:style w:type="paragraph" w:styleId="Heading1">
    <w:name w:val="heading 1"/>
    <w:basedOn w:val="Normal"/>
    <w:next w:val="Normal"/>
    <w:rsid w:val="00693B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93B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93B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93B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93B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93B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93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693B0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93B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C2"/>
  </w:style>
  <w:style w:type="paragraph" w:styleId="Footer">
    <w:name w:val="footer"/>
    <w:basedOn w:val="Normal"/>
    <w:link w:val="FooterChar"/>
    <w:uiPriority w:val="99"/>
    <w:unhideWhenUsed/>
    <w:rsid w:val="00F61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C2"/>
  </w:style>
  <w:style w:type="paragraph" w:styleId="BodyText2">
    <w:name w:val="Body Text 2"/>
    <w:basedOn w:val="Normal"/>
    <w:link w:val="BodyText2Char"/>
    <w:rsid w:val="00CB6086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val="es-MX"/>
    </w:rPr>
  </w:style>
  <w:style w:type="character" w:customStyle="1" w:styleId="BodyText2Char">
    <w:name w:val="Body Text 2 Char"/>
    <w:basedOn w:val="DefaultParagraphFont"/>
    <w:link w:val="BodyText2"/>
    <w:rsid w:val="00CB6086"/>
    <w:rPr>
      <w:rFonts w:ascii="Arial" w:eastAsia="Times New Roman" w:hAnsi="Arial" w:cs="Arial"/>
      <w:sz w:val="28"/>
      <w:szCs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4E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1301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Soler</dc:creator>
  <cp:lastModifiedBy>Rosana</cp:lastModifiedBy>
  <cp:revision>2</cp:revision>
  <dcterms:created xsi:type="dcterms:W3CDTF">2020-06-24T15:48:00Z</dcterms:created>
  <dcterms:modified xsi:type="dcterms:W3CDTF">2020-06-24T15:48:00Z</dcterms:modified>
</cp:coreProperties>
</file>