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F488" w14:textId="77777777" w:rsidR="00C3591D" w:rsidRPr="00EE0AFE" w:rsidRDefault="00C3591D">
      <w:pPr>
        <w:jc w:val="center"/>
        <w:rPr>
          <w:rFonts w:asciiTheme="majorHAnsi" w:eastAsia="Teko" w:hAnsiTheme="majorHAnsi" w:cstheme="majorHAnsi"/>
          <w:b/>
          <w:sz w:val="40"/>
          <w:szCs w:val="40"/>
        </w:rPr>
      </w:pPr>
    </w:p>
    <w:p w14:paraId="1228C540" w14:textId="77777777" w:rsidR="00C3591D" w:rsidRPr="00EE0AFE" w:rsidRDefault="00C3591D" w:rsidP="00C3591D">
      <w:pPr>
        <w:jc w:val="center"/>
        <w:rPr>
          <w:rFonts w:asciiTheme="majorHAnsi" w:eastAsia="Teko" w:hAnsiTheme="majorHAnsi" w:cstheme="majorHAnsi"/>
          <w:b/>
          <w:sz w:val="40"/>
          <w:szCs w:val="40"/>
        </w:rPr>
      </w:pPr>
      <w:r w:rsidRPr="00EE0AFE">
        <w:rPr>
          <w:rFonts w:asciiTheme="majorHAnsi" w:eastAsia="Teko" w:hAnsiTheme="majorHAnsi" w:cstheme="majorHAnsi"/>
          <w:b/>
          <w:sz w:val="40"/>
          <w:szCs w:val="40"/>
        </w:rPr>
        <w:t>Maestría en Teoría Política y Especialización en Estudio Políticos</w:t>
      </w:r>
      <w:r w:rsidR="001A5117" w:rsidRPr="00EE0AFE">
        <w:rPr>
          <w:rFonts w:asciiTheme="majorHAnsi" w:eastAsia="Teko" w:hAnsiTheme="majorHAnsi" w:cstheme="majorHAnsi"/>
          <w:b/>
          <w:sz w:val="40"/>
          <w:szCs w:val="40"/>
        </w:rPr>
        <w:t>– Ciclo lectivo 2020</w:t>
      </w:r>
    </w:p>
    <w:p w14:paraId="4123D26F" w14:textId="77777777" w:rsidR="00C3591D" w:rsidRPr="00EE0AFE" w:rsidRDefault="00C3591D" w:rsidP="00C3591D">
      <w:pPr>
        <w:rPr>
          <w:rFonts w:asciiTheme="majorHAnsi" w:eastAsia="Teko" w:hAnsiTheme="majorHAnsi" w:cstheme="majorHAnsi"/>
          <w:b/>
          <w:sz w:val="40"/>
          <w:szCs w:val="40"/>
        </w:rPr>
      </w:pPr>
    </w:p>
    <w:p w14:paraId="164CD048" w14:textId="77777777" w:rsidR="00C3591D" w:rsidRPr="00EE0AFE" w:rsidRDefault="00C3591D" w:rsidP="00C3591D">
      <w:pPr>
        <w:jc w:val="center"/>
        <w:rPr>
          <w:rFonts w:asciiTheme="majorHAnsi" w:eastAsia="Teko" w:hAnsiTheme="majorHAnsi" w:cstheme="majorHAnsi"/>
          <w:b/>
          <w:sz w:val="40"/>
          <w:szCs w:val="40"/>
        </w:rPr>
      </w:pPr>
      <w:r w:rsidRPr="00EE0AFE">
        <w:rPr>
          <w:rFonts w:asciiTheme="majorHAnsi" w:eastAsia="Teko" w:hAnsiTheme="majorHAnsi" w:cstheme="majorHAnsi"/>
          <w:b/>
          <w:sz w:val="40"/>
          <w:szCs w:val="40"/>
        </w:rPr>
        <w:t xml:space="preserve">Seminario de Integración y preparación del Trabajo Final </w:t>
      </w:r>
    </w:p>
    <w:p w14:paraId="1BDF1979" w14:textId="77777777" w:rsidR="00F2149E" w:rsidRPr="00EE0AFE" w:rsidRDefault="00F2149E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8E0FD17" w14:textId="77777777" w:rsidR="00F2149E" w:rsidRPr="00EE0AFE" w:rsidRDefault="00F2149E">
      <w:pPr>
        <w:jc w:val="both"/>
        <w:rPr>
          <w:rFonts w:asciiTheme="majorHAnsi" w:hAnsiTheme="majorHAnsi" w:cstheme="majorHAnsi"/>
          <w:b/>
          <w:sz w:val="28"/>
          <w:szCs w:val="28"/>
        </w:rPr>
        <w:sectPr w:rsidR="00F2149E" w:rsidRPr="00EE0AFE">
          <w:headerReference w:type="default" r:id="rId7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14:paraId="4A5A35CB" w14:textId="77777777" w:rsidR="00F2149E" w:rsidRPr="00EE0AFE" w:rsidRDefault="00E82A15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EE0AFE">
        <w:rPr>
          <w:rFonts w:asciiTheme="majorHAnsi" w:hAnsiTheme="majorHAnsi" w:cstheme="majorHAnsi"/>
          <w:b/>
          <w:sz w:val="32"/>
          <w:szCs w:val="32"/>
        </w:rPr>
        <w:t>Docente</w:t>
      </w:r>
    </w:p>
    <w:p w14:paraId="01CE8FCE" w14:textId="77777777" w:rsidR="00F2149E" w:rsidRPr="00EE0AFE" w:rsidRDefault="00F2149E">
      <w:pPr>
        <w:jc w:val="both"/>
        <w:rPr>
          <w:rFonts w:asciiTheme="majorHAnsi" w:hAnsiTheme="majorHAnsi" w:cstheme="majorHAnsi"/>
          <w:b/>
          <w:sz w:val="24"/>
          <w:szCs w:val="24"/>
        </w:rPr>
        <w:sectPr w:rsidR="00F2149E" w:rsidRPr="00EE0AF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14:paraId="6C6F8A41" w14:textId="77777777" w:rsidR="00F2149E" w:rsidRPr="00EE0AFE" w:rsidRDefault="00C3591D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E0AFE">
        <w:rPr>
          <w:rFonts w:asciiTheme="majorHAnsi" w:hAnsiTheme="majorHAnsi" w:cstheme="majorHAnsi"/>
          <w:b/>
          <w:sz w:val="24"/>
          <w:szCs w:val="24"/>
        </w:rPr>
        <w:t xml:space="preserve">Marcos Carbonelli </w:t>
      </w:r>
      <w:r w:rsidR="001A5117" w:rsidRPr="00EE0AF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E17D734" w14:textId="77777777" w:rsidR="00F2149E" w:rsidRPr="00EE0AFE" w:rsidRDefault="001A5117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0AFE">
        <w:rPr>
          <w:rFonts w:asciiTheme="majorHAnsi" w:hAnsiTheme="majorHAnsi" w:cstheme="majorHAnsi"/>
        </w:rPr>
        <w:br w:type="column"/>
      </w:r>
      <w:r w:rsidR="00C3591D" w:rsidRPr="00EE0AFE">
        <w:rPr>
          <w:rFonts w:asciiTheme="majorHAnsi" w:hAnsiTheme="majorHAnsi" w:cstheme="majorHAnsi"/>
          <w:sz w:val="24"/>
          <w:szCs w:val="24"/>
        </w:rPr>
        <w:t>Licenciado en Ciencia Política (UBA), Magíster</w:t>
      </w:r>
      <w:r w:rsidRPr="00EE0AFE">
        <w:rPr>
          <w:rFonts w:asciiTheme="majorHAnsi" w:hAnsiTheme="majorHAnsi" w:cstheme="majorHAnsi"/>
          <w:sz w:val="24"/>
          <w:szCs w:val="24"/>
        </w:rPr>
        <w:t xml:space="preserve"> en </w:t>
      </w:r>
      <w:r w:rsidR="00C3591D" w:rsidRPr="00EE0AFE">
        <w:rPr>
          <w:rFonts w:asciiTheme="majorHAnsi" w:hAnsiTheme="majorHAnsi" w:cstheme="majorHAnsi"/>
          <w:sz w:val="24"/>
          <w:szCs w:val="24"/>
        </w:rPr>
        <w:t>Ciencia Política (UNSAM) y Doctor en Ciencias Sociales (UBA).  Investigador adjunto en CONICET</w:t>
      </w:r>
      <w:r w:rsidRPr="00EE0AFE">
        <w:rPr>
          <w:rFonts w:asciiTheme="majorHAnsi" w:hAnsiTheme="majorHAnsi" w:cstheme="majorHAnsi"/>
          <w:sz w:val="24"/>
          <w:szCs w:val="24"/>
        </w:rPr>
        <w:t>. Dirige p</w:t>
      </w:r>
      <w:r w:rsidR="00C3591D" w:rsidRPr="00EE0AFE">
        <w:rPr>
          <w:rFonts w:asciiTheme="majorHAnsi" w:hAnsiTheme="majorHAnsi" w:cstheme="majorHAnsi"/>
          <w:sz w:val="24"/>
          <w:szCs w:val="24"/>
        </w:rPr>
        <w:t xml:space="preserve">royectos de investigación en religión y política. </w:t>
      </w:r>
    </w:p>
    <w:p w14:paraId="43A7AC8C" w14:textId="77777777" w:rsidR="00F2149E" w:rsidRPr="00EE0AFE" w:rsidRDefault="00F2149E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  <w:sectPr w:rsidR="00F2149E" w:rsidRPr="00EE0AFE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</w:p>
    <w:p w14:paraId="12935BB7" w14:textId="77777777" w:rsidR="00F2149E" w:rsidRPr="00EE0AFE" w:rsidRDefault="00F2149E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A3241B0" w14:textId="77777777" w:rsidR="00F2149E" w:rsidRPr="00EE0AFE" w:rsidRDefault="001A5117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0AFE">
        <w:rPr>
          <w:rFonts w:asciiTheme="majorHAnsi" w:hAnsiTheme="majorHAnsi" w:cstheme="majorHAnsi"/>
          <w:b/>
          <w:sz w:val="28"/>
          <w:szCs w:val="28"/>
        </w:rPr>
        <w:t xml:space="preserve">Fundamentación </w:t>
      </w:r>
    </w:p>
    <w:p w14:paraId="350EDE58" w14:textId="77777777" w:rsidR="00C3591D" w:rsidRPr="00EE0AFE" w:rsidRDefault="00C3591D" w:rsidP="00C3591D">
      <w:pPr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El objetivo del curso es introducir a los/as estudiantes en diversos aspectos de la metodología de la investigación social que contribuyan a actualizar y profundizar su formación como investigadores/as, así como ofrecer herramientas para el desarrollo del trabajo final de la especialización o el proyecto de investigación de maestría.  </w:t>
      </w:r>
    </w:p>
    <w:p w14:paraId="1674B4E8" w14:textId="77777777" w:rsidR="00F2149E" w:rsidRPr="00EE0AFE" w:rsidRDefault="00C3591D" w:rsidP="00307608">
      <w:pPr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El presente curso apunta a brindar herramientas para diseñar y conducir investigaciones de forma creativa y rigurosa, a fortalecer la capacidad para evaluar críticamente la producción de la evidencia producida, así como a ofrecer un espacio para la reflexión sobre el proceso de construcción de conocimiento en el campo de la investigación política.</w:t>
      </w:r>
    </w:p>
    <w:p w14:paraId="164CE114" w14:textId="77777777" w:rsidR="00307608" w:rsidRPr="00EE0AFE" w:rsidRDefault="00307608" w:rsidP="0030760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E6389F8" w14:textId="77777777" w:rsidR="00F2149E" w:rsidRPr="00EE0AFE" w:rsidRDefault="001A5117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0AFE">
        <w:rPr>
          <w:rFonts w:asciiTheme="majorHAnsi" w:hAnsiTheme="majorHAnsi" w:cstheme="majorHAnsi"/>
          <w:b/>
          <w:sz w:val="28"/>
          <w:szCs w:val="28"/>
        </w:rPr>
        <w:t>Objetivos</w:t>
      </w:r>
    </w:p>
    <w:p w14:paraId="6BB0B06E" w14:textId="77777777" w:rsidR="00307608" w:rsidRPr="00EE0AFE" w:rsidRDefault="00307608" w:rsidP="0030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E0AFE">
        <w:rPr>
          <w:rFonts w:asciiTheme="majorHAnsi" w:hAnsiTheme="majorHAnsi" w:cstheme="majorHAnsi"/>
          <w:color w:val="000000"/>
          <w:sz w:val="24"/>
          <w:szCs w:val="24"/>
        </w:rPr>
        <w:t>Proporcionar a los/as estudiantes herramientas para contribuir a su formación como investigadores/as y para la elaboración de sus trabajos finales y/o tesis</w:t>
      </w:r>
    </w:p>
    <w:p w14:paraId="746D54C8" w14:textId="77777777" w:rsidR="00307608" w:rsidRPr="00EE0AFE" w:rsidRDefault="00307608" w:rsidP="0030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15A815B" w14:textId="77777777" w:rsidR="00307608" w:rsidRPr="00EE0AFE" w:rsidRDefault="00307608" w:rsidP="0030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E0AFE">
        <w:rPr>
          <w:rFonts w:asciiTheme="majorHAnsi" w:hAnsiTheme="majorHAnsi" w:cstheme="majorHAnsi"/>
          <w:color w:val="000000"/>
          <w:sz w:val="24"/>
          <w:szCs w:val="24"/>
        </w:rPr>
        <w:t>Promover en los y las estudiantes la capacidad autónoma de generar un proyecto de investigación.</w:t>
      </w:r>
    </w:p>
    <w:p w14:paraId="28214DE9" w14:textId="77777777" w:rsidR="00307608" w:rsidRPr="00EE0AFE" w:rsidRDefault="00307608" w:rsidP="0030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0B6B2EC" w14:textId="77777777" w:rsidR="00307608" w:rsidRPr="00EE0AFE" w:rsidRDefault="00307608" w:rsidP="0030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BFAC1F5" w14:textId="77777777" w:rsidR="00307608" w:rsidRPr="00EE0AFE" w:rsidRDefault="00307608" w:rsidP="00307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E0AFE">
        <w:rPr>
          <w:rFonts w:asciiTheme="majorHAnsi" w:hAnsiTheme="majorHAnsi" w:cstheme="majorHAnsi"/>
          <w:color w:val="000000"/>
          <w:sz w:val="24"/>
          <w:szCs w:val="24"/>
        </w:rPr>
        <w:t>Ofrecer un espacio curricular que tenga en cuenta no solamente aspectos de contenido durante su proceso de formación, sino también motivacionales y sociales.</w:t>
      </w:r>
    </w:p>
    <w:p w14:paraId="7DEF8CA5" w14:textId="77777777" w:rsidR="00C3591D" w:rsidRPr="00EE0AFE" w:rsidRDefault="001A5117" w:rsidP="00307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E0AF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9F3A26E" w14:textId="77777777" w:rsidR="00F2149E" w:rsidRPr="00EE0AFE" w:rsidRDefault="001A5117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0AFE">
        <w:rPr>
          <w:rFonts w:asciiTheme="majorHAnsi" w:hAnsiTheme="majorHAnsi" w:cstheme="majorHAnsi"/>
          <w:b/>
          <w:sz w:val="28"/>
          <w:szCs w:val="28"/>
        </w:rPr>
        <w:t>Unidades</w:t>
      </w:r>
    </w:p>
    <w:p w14:paraId="42AB45FB" w14:textId="77777777" w:rsidR="00E80777" w:rsidRPr="00EE0AFE" w:rsidRDefault="001A5117">
      <w:pPr>
        <w:tabs>
          <w:tab w:val="left" w:pos="159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Unidad 1. </w:t>
      </w:r>
      <w:r w:rsidR="00E80777" w:rsidRPr="00EE0AFE">
        <w:rPr>
          <w:rFonts w:asciiTheme="majorHAnsi" w:hAnsiTheme="majorHAnsi" w:cstheme="majorHAnsi"/>
          <w:sz w:val="24"/>
          <w:szCs w:val="24"/>
        </w:rPr>
        <w:t>Introducción y etapas de la investigación social. La elección del tema de investigación: criterios de relevancia y factibilidad.</w:t>
      </w:r>
    </w:p>
    <w:p w14:paraId="3FA876DD" w14:textId="77777777" w:rsidR="00F2149E" w:rsidRPr="00EE0AFE" w:rsidRDefault="00E80777">
      <w:pPr>
        <w:tabs>
          <w:tab w:val="left" w:pos="159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Introducción a la investigación científica: principales características y supuestos del método cientí</w:t>
      </w:r>
      <w:r w:rsidR="00E82A15" w:rsidRPr="00EE0AFE">
        <w:rPr>
          <w:rFonts w:asciiTheme="majorHAnsi" w:hAnsiTheme="majorHAnsi" w:cstheme="majorHAnsi"/>
          <w:sz w:val="24"/>
          <w:szCs w:val="24"/>
        </w:rPr>
        <w:t>fico. Q</w:t>
      </w:r>
      <w:r w:rsidRPr="00EE0AFE">
        <w:rPr>
          <w:rFonts w:asciiTheme="majorHAnsi" w:hAnsiTheme="majorHAnsi" w:cstheme="majorHAnsi"/>
          <w:sz w:val="24"/>
          <w:szCs w:val="24"/>
        </w:rPr>
        <w:t>ué es y qué no es investigación social. Componentes del proceso de investigación: de la elaboración del proyecto a la ejecución y difusión de los resultados de la investigación. La elección de la temática: orígenes, razones y motivaciones. ¿Cuál es el potencial de una investigación? Relevancia y utilidad social y política del tema. Pertinencia del tema para la disciplina y el campo específico de estudios y aporte original a los mismos. Definición y delimitación del tema para que resulte abordable (la disponibilidad de, y accesibilidad a, información; recursos humanos y financieros, etc.).</w:t>
      </w:r>
      <w:r w:rsidR="00E82A15" w:rsidRPr="00EE0AFE">
        <w:rPr>
          <w:rFonts w:asciiTheme="majorHAnsi" w:hAnsiTheme="majorHAnsi" w:cstheme="majorHAnsi"/>
          <w:sz w:val="24"/>
          <w:szCs w:val="24"/>
        </w:rPr>
        <w:t xml:space="preserve"> La inserción del proyecto en un campo temático. </w:t>
      </w:r>
      <w:r w:rsidR="0032789D" w:rsidRPr="00EE0AFE">
        <w:rPr>
          <w:rFonts w:asciiTheme="majorHAnsi" w:hAnsiTheme="majorHAnsi" w:cstheme="majorHAnsi"/>
          <w:sz w:val="24"/>
          <w:szCs w:val="24"/>
        </w:rPr>
        <w:t xml:space="preserve">Las competencias de un investigador en ciencias sociales </w:t>
      </w:r>
      <w:r w:rsidR="00E82A15" w:rsidRPr="00EE0AFE">
        <w:rPr>
          <w:rFonts w:asciiTheme="majorHAnsi" w:hAnsiTheme="majorHAnsi" w:cstheme="majorHAnsi"/>
          <w:sz w:val="24"/>
          <w:szCs w:val="24"/>
        </w:rPr>
        <w:t>Búsqueda bibliográfica ¿Cómo empezar a leer? La delimitación de un campo temático. Sistematización de la información. Fichaje y síntesis. La importancia de la lectura en la construcción de una pregunta de investigación.</w:t>
      </w:r>
    </w:p>
    <w:p w14:paraId="3CE4DD78" w14:textId="77777777" w:rsidR="00E80777" w:rsidRPr="00EE0AFE" w:rsidRDefault="00E8077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3110EA0" w14:textId="77777777" w:rsidR="00F2149E" w:rsidRPr="00EE0AFE" w:rsidRDefault="00E82A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Unidad 2</w:t>
      </w:r>
      <w:r w:rsidR="001A5117" w:rsidRPr="00EE0AFE">
        <w:rPr>
          <w:rFonts w:asciiTheme="majorHAnsi" w:hAnsiTheme="majorHAnsi" w:cstheme="majorHAnsi"/>
          <w:sz w:val="24"/>
          <w:szCs w:val="24"/>
        </w:rPr>
        <w:t>.</w:t>
      </w:r>
      <w:r w:rsidR="00E80777" w:rsidRPr="00EE0AFE">
        <w:rPr>
          <w:rFonts w:asciiTheme="majorHAnsi" w:hAnsiTheme="majorHAnsi" w:cstheme="majorHAnsi"/>
          <w:sz w:val="24"/>
          <w:szCs w:val="24"/>
        </w:rPr>
        <w:t xml:space="preserve"> </w:t>
      </w:r>
      <w:r w:rsidR="00A75D76" w:rsidRPr="00EE0AFE">
        <w:rPr>
          <w:rFonts w:asciiTheme="majorHAnsi" w:hAnsiTheme="majorHAnsi" w:cstheme="majorHAnsi"/>
          <w:sz w:val="24"/>
          <w:szCs w:val="24"/>
        </w:rPr>
        <w:t>Marco teórico / Contexto conceptual</w:t>
      </w:r>
    </w:p>
    <w:p w14:paraId="306AD549" w14:textId="77777777" w:rsidR="00307608" w:rsidRPr="00EE0AFE" w:rsidRDefault="0066522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La importancia del marco teórico en las investigaciones en ciencias sociales. </w:t>
      </w:r>
      <w:r w:rsidR="00307608" w:rsidRPr="00EE0AFE">
        <w:rPr>
          <w:rFonts w:asciiTheme="majorHAnsi" w:hAnsiTheme="majorHAnsi" w:cstheme="majorHAnsi"/>
          <w:sz w:val="24"/>
          <w:szCs w:val="24"/>
        </w:rPr>
        <w:t>Para</w:t>
      </w:r>
      <w:r w:rsidRPr="00EE0AFE">
        <w:rPr>
          <w:rFonts w:asciiTheme="majorHAnsi" w:hAnsiTheme="majorHAnsi" w:cstheme="majorHAnsi"/>
          <w:sz w:val="24"/>
          <w:szCs w:val="24"/>
        </w:rPr>
        <w:t>digmas en competencia: presupuestos ontológicos, epistemológicos y metodológicos.</w:t>
      </w:r>
      <w:r w:rsidR="00307608" w:rsidRPr="00EE0AFE">
        <w:rPr>
          <w:rFonts w:asciiTheme="majorHAnsi" w:hAnsiTheme="majorHAnsi" w:cstheme="majorHAnsi"/>
          <w:sz w:val="24"/>
          <w:szCs w:val="24"/>
        </w:rPr>
        <w:t xml:space="preserve"> Perspectivas holistas e individualistas. </w:t>
      </w:r>
      <w:r w:rsidRPr="00EE0AFE">
        <w:rPr>
          <w:rFonts w:asciiTheme="majorHAnsi" w:hAnsiTheme="majorHAnsi" w:cstheme="majorHAnsi"/>
          <w:sz w:val="24"/>
          <w:szCs w:val="24"/>
        </w:rPr>
        <w:t xml:space="preserve">Enfoques deductivos e inductivos. </w:t>
      </w:r>
      <w:r w:rsidR="00307608" w:rsidRPr="00EE0AFE">
        <w:rPr>
          <w:rFonts w:asciiTheme="majorHAnsi" w:hAnsiTheme="majorHAnsi" w:cstheme="majorHAnsi"/>
          <w:sz w:val="24"/>
          <w:szCs w:val="24"/>
        </w:rPr>
        <w:t>Tradiciones, pertenencias institucionales y pragmatismo. Reconstrucción de debates teóricos y posicionamientos. Marcos teóricos irreconciliables y complementarios. Ventajas y desventajas de la interdisciplinari</w:t>
      </w:r>
      <w:r w:rsidRPr="00EE0AFE">
        <w:rPr>
          <w:rFonts w:asciiTheme="majorHAnsi" w:hAnsiTheme="majorHAnsi" w:cstheme="majorHAnsi"/>
          <w:sz w:val="24"/>
          <w:szCs w:val="24"/>
        </w:rPr>
        <w:t>edad. La aplicación de teorías.</w:t>
      </w:r>
      <w:r w:rsidR="00307608" w:rsidRPr="00EE0AFE">
        <w:rPr>
          <w:rFonts w:asciiTheme="majorHAnsi" w:hAnsiTheme="majorHAnsi" w:cstheme="majorHAnsi"/>
          <w:sz w:val="24"/>
          <w:szCs w:val="24"/>
        </w:rPr>
        <w:t xml:space="preserve"> Teorías generales y teorías sustantivas</w:t>
      </w:r>
      <w:r w:rsidRPr="00EE0AFE">
        <w:rPr>
          <w:rFonts w:asciiTheme="majorHAnsi" w:hAnsiTheme="majorHAnsi" w:cstheme="majorHAnsi"/>
          <w:sz w:val="24"/>
          <w:szCs w:val="24"/>
        </w:rPr>
        <w:t>. La construcción del marco teórico. Revisión de categorías. Como definir conceptos.</w:t>
      </w:r>
      <w:r w:rsidRPr="00EE0AFE">
        <w:rPr>
          <w:rFonts w:asciiTheme="majorHAnsi" w:hAnsiTheme="majorHAnsi" w:cstheme="majorHAnsi"/>
        </w:rPr>
        <w:t xml:space="preserve"> </w:t>
      </w:r>
      <w:r w:rsidRPr="00EE0AFE">
        <w:rPr>
          <w:rFonts w:asciiTheme="majorHAnsi" w:hAnsiTheme="majorHAnsi" w:cstheme="majorHAnsi"/>
          <w:sz w:val="24"/>
          <w:szCs w:val="24"/>
        </w:rPr>
        <w:t xml:space="preserve">La producción de nuevas categorías. </w:t>
      </w:r>
      <w:r w:rsidR="00626BF9" w:rsidRPr="00EE0AFE">
        <w:rPr>
          <w:rFonts w:asciiTheme="majorHAnsi" w:hAnsiTheme="majorHAnsi" w:cstheme="majorHAnsi"/>
          <w:sz w:val="24"/>
          <w:szCs w:val="24"/>
        </w:rPr>
        <w:t>Diferencias entre marco teórico y estado del arte.</w:t>
      </w:r>
      <w:r w:rsidRPr="00EE0AFE">
        <w:rPr>
          <w:rFonts w:asciiTheme="majorHAnsi" w:hAnsiTheme="majorHAnsi" w:cstheme="majorHAnsi"/>
          <w:sz w:val="24"/>
          <w:szCs w:val="24"/>
        </w:rPr>
        <w:t xml:space="preserve"> El rol del investigador y su relación con el objeto de estudio. El problema de la objetividad en las ciencias sociales. </w:t>
      </w:r>
    </w:p>
    <w:p w14:paraId="0D851E1A" w14:textId="77777777" w:rsidR="00E82A15" w:rsidRPr="00EE0AFE" w:rsidRDefault="00E82A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E070FC" w14:textId="77777777" w:rsidR="00F2149E" w:rsidRPr="00EE0AFE" w:rsidRDefault="00E82A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Unidad 3</w:t>
      </w:r>
      <w:r w:rsidR="001A5117" w:rsidRPr="00EE0AFE">
        <w:rPr>
          <w:rFonts w:asciiTheme="majorHAnsi" w:hAnsiTheme="majorHAnsi" w:cstheme="majorHAnsi"/>
          <w:sz w:val="24"/>
          <w:szCs w:val="24"/>
        </w:rPr>
        <w:t xml:space="preserve">. </w:t>
      </w:r>
      <w:r w:rsidR="00307608" w:rsidRPr="00EE0AFE">
        <w:rPr>
          <w:rFonts w:asciiTheme="majorHAnsi" w:hAnsiTheme="majorHAnsi" w:cstheme="majorHAnsi"/>
          <w:sz w:val="24"/>
          <w:szCs w:val="24"/>
        </w:rPr>
        <w:t xml:space="preserve">Formulación de pregunta y objetivos de investigación </w:t>
      </w:r>
    </w:p>
    <w:p w14:paraId="2B5B4D76" w14:textId="77777777" w:rsidR="00F2149E" w:rsidRPr="00EE0AFE" w:rsidRDefault="00A75D76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Las preguntas</w:t>
      </w:r>
      <w:r w:rsidR="00626BF9" w:rsidRPr="00EE0AFE">
        <w:rPr>
          <w:rFonts w:asciiTheme="majorHAnsi" w:hAnsiTheme="majorHAnsi" w:cstheme="majorHAnsi"/>
          <w:sz w:val="24"/>
          <w:szCs w:val="24"/>
        </w:rPr>
        <w:t xml:space="preserve"> y los objetivos que orientan la</w:t>
      </w:r>
      <w:r w:rsidRPr="00EE0AFE">
        <w:rPr>
          <w:rFonts w:asciiTheme="majorHAnsi" w:hAnsiTheme="majorHAnsi" w:cstheme="majorHAnsi"/>
          <w:sz w:val="24"/>
          <w:szCs w:val="24"/>
        </w:rPr>
        <w:t xml:space="preserve"> investigación: cómo formularlos, cuál es su carácter (problemático, analítico, descriptivo) y cuál es su relación. El objetivo general, la pregunta de investigación y el argumento principal de mi trabajo (un artículo, una monografía, una tesis). La relación entre objetivo general y objetivos específicos. Errores y confusiones frecuentes: un tema no es un objeto de estudio; nuestras preguntas siempre tienen carga teórica-valorativa; sin preguntas claramente formuladas no hay tesis posible; siempre tenemos una respuesta conjetu</w:t>
      </w:r>
      <w:r w:rsidR="00626BF9" w:rsidRPr="00EE0AFE">
        <w:rPr>
          <w:rFonts w:asciiTheme="majorHAnsi" w:hAnsiTheme="majorHAnsi" w:cstheme="majorHAnsi"/>
          <w:sz w:val="24"/>
          <w:szCs w:val="24"/>
        </w:rPr>
        <w:t xml:space="preserve">ral a nuestro interrogante. </w:t>
      </w:r>
      <w:r w:rsidRPr="00EE0AFE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8B78081" w14:textId="77777777" w:rsidR="009817DF" w:rsidRPr="00EE0AFE" w:rsidRDefault="009817D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C9D07E" w14:textId="77777777" w:rsidR="00E82A15" w:rsidRPr="00EE0AFE" w:rsidRDefault="00E82A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5066BC" w14:textId="77777777" w:rsidR="009817DF" w:rsidRPr="00EE0AFE" w:rsidRDefault="00E82A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Unidad 4</w:t>
      </w:r>
      <w:r w:rsidR="009817DF" w:rsidRPr="00EE0AFE">
        <w:rPr>
          <w:rFonts w:asciiTheme="majorHAnsi" w:hAnsiTheme="majorHAnsi" w:cstheme="majorHAnsi"/>
          <w:sz w:val="24"/>
          <w:szCs w:val="24"/>
        </w:rPr>
        <w:t xml:space="preserve">. </w:t>
      </w:r>
      <w:r w:rsidR="00626BF9" w:rsidRPr="00EE0AFE">
        <w:rPr>
          <w:rFonts w:asciiTheme="majorHAnsi" w:hAnsiTheme="majorHAnsi" w:cstheme="majorHAnsi"/>
          <w:sz w:val="24"/>
          <w:szCs w:val="24"/>
        </w:rPr>
        <w:t xml:space="preserve">Abordaje metodológico </w:t>
      </w:r>
    </w:p>
    <w:p w14:paraId="6E8228E3" w14:textId="77777777" w:rsidR="00626BF9" w:rsidRPr="00EE0AFE" w:rsidRDefault="00626BF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Decisiones fundamentales del abordaje metodológico: diferencias sustantivas entre enfoques cualitativos y cuantitativos en ciencias sociales. Potencias, debilidades y complementariedad. Muestreo teórico, intencional y estadístico. La selección de los casos: opciones para ampliar el alcance teórico del proyecto. La relación tríadica </w:t>
      </w:r>
      <w:r w:rsidR="0032789D" w:rsidRPr="00EE0AFE">
        <w:rPr>
          <w:rFonts w:asciiTheme="majorHAnsi" w:hAnsiTheme="majorHAnsi" w:cstheme="majorHAnsi"/>
          <w:sz w:val="24"/>
          <w:szCs w:val="24"/>
        </w:rPr>
        <w:t>entre d</w:t>
      </w:r>
      <w:r w:rsidRPr="00EE0AFE">
        <w:rPr>
          <w:rFonts w:asciiTheme="majorHAnsi" w:hAnsiTheme="majorHAnsi" w:cstheme="majorHAnsi"/>
          <w:sz w:val="24"/>
          <w:szCs w:val="24"/>
        </w:rPr>
        <w:t xml:space="preserve">atos, pruebas e ideas. </w:t>
      </w:r>
      <w:r w:rsidR="0032789D" w:rsidRPr="00EE0AFE">
        <w:rPr>
          <w:rFonts w:asciiTheme="majorHAnsi" w:hAnsiTheme="majorHAnsi" w:cstheme="majorHAnsi"/>
          <w:sz w:val="24"/>
          <w:szCs w:val="24"/>
        </w:rPr>
        <w:t xml:space="preserve"> Criterios de validación de los datos construidos. Contrastación y fidelidad. Vigilancia epistemológica. </w:t>
      </w:r>
    </w:p>
    <w:p w14:paraId="12679091" w14:textId="77777777" w:rsidR="00E82A15" w:rsidRPr="00EE0AFE" w:rsidRDefault="00E82A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21C725" w14:textId="77777777" w:rsidR="009817DF" w:rsidRPr="00EE0AFE" w:rsidRDefault="00E82A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Unidad 5</w:t>
      </w:r>
      <w:r w:rsidR="009817DF" w:rsidRPr="00EE0AFE">
        <w:rPr>
          <w:rFonts w:asciiTheme="majorHAnsi" w:hAnsiTheme="majorHAnsi" w:cstheme="majorHAnsi"/>
          <w:sz w:val="24"/>
          <w:szCs w:val="24"/>
        </w:rPr>
        <w:t xml:space="preserve">. </w:t>
      </w:r>
      <w:r w:rsidR="00194F2C" w:rsidRPr="00EE0AFE">
        <w:rPr>
          <w:rFonts w:asciiTheme="majorHAnsi" w:hAnsiTheme="majorHAnsi" w:cstheme="majorHAnsi"/>
          <w:sz w:val="24"/>
          <w:szCs w:val="24"/>
        </w:rPr>
        <w:t xml:space="preserve"> La producción textual en Ciencias Sociales </w:t>
      </w:r>
    </w:p>
    <w:p w14:paraId="6CE1A051" w14:textId="77777777" w:rsidR="009817DF" w:rsidRPr="00EE0AFE" w:rsidRDefault="009817D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Los desafíos de la escritura.  Diferencias entre los textos científicos. Errores comunes en la redacción. Consejos prácticos para la escritura de textos científicos. Estilos, tonos y trucos de escritura. La definición de un público. Equilibrio entre la presentación de evidencia, el análisis y la persuasión argumentativa.  Aspectos formales, institucionales, relacionales y cognitivos sobre la tesis.</w:t>
      </w:r>
    </w:p>
    <w:p w14:paraId="26D04760" w14:textId="77777777" w:rsidR="009817DF" w:rsidRPr="00EE0AFE" w:rsidRDefault="009817DF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F4F02C5" w14:textId="77777777" w:rsidR="00F2149E" w:rsidRPr="00EE0AFE" w:rsidRDefault="001A5117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0AFE">
        <w:rPr>
          <w:rFonts w:asciiTheme="majorHAnsi" w:hAnsiTheme="majorHAnsi" w:cstheme="majorHAnsi"/>
          <w:b/>
          <w:sz w:val="28"/>
          <w:szCs w:val="28"/>
        </w:rPr>
        <w:t>Bibliografía</w:t>
      </w:r>
    </w:p>
    <w:p w14:paraId="352A11B0" w14:textId="77777777" w:rsidR="00C3591D" w:rsidRPr="00EE0AFE" w:rsidRDefault="00C3591D" w:rsidP="00C3591D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14:paraId="29F569C6" w14:textId="77777777" w:rsidR="00C3591D" w:rsidRPr="00EE0AFE" w:rsidRDefault="00C3591D" w:rsidP="00C3591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E0AFE">
        <w:rPr>
          <w:rFonts w:asciiTheme="majorHAnsi" w:hAnsiTheme="majorHAnsi" w:cstheme="majorHAnsi"/>
          <w:sz w:val="24"/>
          <w:szCs w:val="24"/>
        </w:rPr>
        <w:t>Archenti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, N. (2018). El papel de la teoría en la investigación social, en 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Marradi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, A.; N. 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Archenti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 y J. 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Piovani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.  </w:t>
      </w:r>
      <w:r w:rsidRPr="00EE0AFE">
        <w:rPr>
          <w:rFonts w:asciiTheme="majorHAnsi" w:hAnsiTheme="majorHAnsi" w:cstheme="majorHAnsi"/>
          <w:i/>
          <w:sz w:val="24"/>
          <w:szCs w:val="24"/>
        </w:rPr>
        <w:t>Manual de Metodología de las  Ciencias Sociales</w:t>
      </w:r>
      <w:r w:rsidRPr="00EE0AFE">
        <w:rPr>
          <w:rFonts w:asciiTheme="majorHAnsi" w:hAnsiTheme="majorHAnsi" w:cstheme="majorHAnsi"/>
          <w:sz w:val="24"/>
          <w:szCs w:val="24"/>
        </w:rPr>
        <w:t>. Buenos Aires: Siglo XXI editores.</w:t>
      </w:r>
    </w:p>
    <w:p w14:paraId="46E7ACCB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E0AFE">
        <w:rPr>
          <w:rFonts w:asciiTheme="majorHAnsi" w:hAnsiTheme="majorHAnsi" w:cstheme="majorHAnsi"/>
          <w:sz w:val="24"/>
          <w:szCs w:val="24"/>
        </w:rPr>
        <w:t>Babbie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, E. (1996) </w:t>
      </w:r>
      <w:r w:rsidRPr="00EE0AFE">
        <w:rPr>
          <w:rFonts w:asciiTheme="majorHAnsi" w:hAnsiTheme="majorHAnsi" w:cstheme="majorHAnsi"/>
          <w:i/>
          <w:sz w:val="24"/>
          <w:szCs w:val="24"/>
        </w:rPr>
        <w:t>Manual para la práctica de la investigación social</w:t>
      </w:r>
      <w:r w:rsidRPr="00EE0AFE">
        <w:rPr>
          <w:rFonts w:asciiTheme="majorHAnsi" w:hAnsiTheme="majorHAnsi" w:cstheme="majorHAnsi"/>
          <w:sz w:val="24"/>
          <w:szCs w:val="24"/>
        </w:rPr>
        <w:t>; Bilbao: Desclée de Brouwer.</w:t>
      </w:r>
    </w:p>
    <w:p w14:paraId="40DCB5BF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Becker, H. (2009). </w:t>
      </w:r>
      <w:r w:rsidRPr="00EE0AFE">
        <w:rPr>
          <w:rFonts w:asciiTheme="majorHAnsi" w:hAnsiTheme="majorHAnsi" w:cstheme="majorHAnsi"/>
          <w:i/>
          <w:sz w:val="24"/>
          <w:szCs w:val="24"/>
        </w:rPr>
        <w:t>Trucos del oficio: cómo conducir su investigación en ciencias sociales</w:t>
      </w:r>
      <w:r w:rsidRPr="00EE0AFE">
        <w:rPr>
          <w:rFonts w:asciiTheme="majorHAnsi" w:hAnsiTheme="majorHAnsi" w:cstheme="majorHAnsi"/>
          <w:sz w:val="24"/>
          <w:szCs w:val="24"/>
        </w:rPr>
        <w:t>. Buenos Aires: Siglo XXI.</w:t>
      </w:r>
    </w:p>
    <w:p w14:paraId="6E353D98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Becker, H. (2011). </w:t>
      </w:r>
      <w:r w:rsidRPr="00EE0AFE">
        <w:rPr>
          <w:rFonts w:asciiTheme="majorHAnsi" w:hAnsiTheme="majorHAnsi" w:cstheme="majorHAnsi"/>
          <w:i/>
          <w:sz w:val="24"/>
          <w:szCs w:val="24"/>
        </w:rPr>
        <w:t>Manual de escritura para científicos sociales: cómo empezar y terminar una tesis, un libro o un artículo</w:t>
      </w:r>
      <w:r w:rsidRPr="00EE0AFE">
        <w:rPr>
          <w:rFonts w:asciiTheme="majorHAnsi" w:hAnsiTheme="majorHAnsi" w:cstheme="majorHAnsi"/>
          <w:sz w:val="24"/>
          <w:szCs w:val="24"/>
        </w:rPr>
        <w:t>. Buenos Aires: Siglo XXI.</w:t>
      </w:r>
    </w:p>
    <w:p w14:paraId="0B88EEED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Becker, H. (2016). </w:t>
      </w:r>
      <w:r w:rsidRPr="00EE0AFE">
        <w:rPr>
          <w:rFonts w:asciiTheme="majorHAnsi" w:hAnsiTheme="majorHAnsi" w:cstheme="majorHAnsi"/>
          <w:i/>
          <w:sz w:val="24"/>
          <w:szCs w:val="24"/>
        </w:rPr>
        <w:t>Mozart, el asesinato y los límites del sentido común. Como construir teoría a partir de los casos.</w:t>
      </w:r>
      <w:r w:rsidRPr="00EE0AFE">
        <w:rPr>
          <w:rFonts w:asciiTheme="majorHAnsi" w:hAnsiTheme="majorHAnsi" w:cstheme="majorHAnsi"/>
          <w:sz w:val="24"/>
          <w:szCs w:val="24"/>
        </w:rPr>
        <w:t xml:space="preserve"> Buenos Aires: Siglo XXI editores. </w:t>
      </w:r>
    </w:p>
    <w:p w14:paraId="1F42B392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Becker, H (2018). </w:t>
      </w:r>
      <w:r w:rsidRPr="00EE0AFE">
        <w:rPr>
          <w:rFonts w:asciiTheme="majorHAnsi" w:hAnsiTheme="majorHAnsi" w:cstheme="majorHAnsi"/>
          <w:i/>
          <w:sz w:val="24"/>
          <w:szCs w:val="24"/>
        </w:rPr>
        <w:t>Datos, pruebas e ideas. Por qué los científicos sociales deberían tomárselos más en serio y aprender de sus errores</w:t>
      </w:r>
      <w:r w:rsidRPr="00EE0AFE">
        <w:rPr>
          <w:rFonts w:asciiTheme="majorHAnsi" w:hAnsiTheme="majorHAnsi" w:cstheme="majorHAnsi"/>
          <w:sz w:val="24"/>
          <w:szCs w:val="24"/>
        </w:rPr>
        <w:t xml:space="preserve">. Buenos Aires: Siglo XXI editores. </w:t>
      </w:r>
    </w:p>
    <w:p w14:paraId="5CEFA7BA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Botta, M. y J. 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Warley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 (2007). </w:t>
      </w:r>
      <w:r w:rsidRPr="00EE0AFE">
        <w:rPr>
          <w:rFonts w:asciiTheme="majorHAnsi" w:hAnsiTheme="majorHAnsi" w:cstheme="majorHAnsi"/>
          <w:i/>
          <w:sz w:val="24"/>
          <w:szCs w:val="24"/>
        </w:rPr>
        <w:t>Tesis, tesinas, monografías e informes. Nuevas normas y técnicas de investigación</w:t>
      </w:r>
      <w:r w:rsidRPr="00EE0AFE">
        <w:rPr>
          <w:rFonts w:asciiTheme="majorHAnsi" w:hAnsiTheme="majorHAnsi" w:cstheme="majorHAnsi"/>
          <w:sz w:val="24"/>
          <w:szCs w:val="24"/>
        </w:rPr>
        <w:t>. Buenos Aires: Biblos.</w:t>
      </w:r>
    </w:p>
    <w:p w14:paraId="7102738B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Cassany, D. (2004). </w:t>
      </w:r>
      <w:r w:rsidRPr="00EE0AFE">
        <w:rPr>
          <w:rFonts w:asciiTheme="majorHAnsi" w:hAnsiTheme="majorHAnsi" w:cstheme="majorHAnsi"/>
          <w:i/>
          <w:sz w:val="24"/>
          <w:szCs w:val="24"/>
        </w:rPr>
        <w:t>La cocina de la escritura</w:t>
      </w:r>
      <w:r w:rsidRPr="00EE0AFE">
        <w:rPr>
          <w:rFonts w:asciiTheme="majorHAnsi" w:hAnsiTheme="majorHAnsi" w:cstheme="majorHAnsi"/>
          <w:sz w:val="24"/>
          <w:szCs w:val="24"/>
        </w:rPr>
        <w:t>. Barcelona: Anagrama.</w:t>
      </w:r>
    </w:p>
    <w:p w14:paraId="061787B2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lastRenderedPageBreak/>
        <w:t xml:space="preserve">Chalmers, A. (2002). </w:t>
      </w:r>
      <w:r w:rsidRPr="00EE0AFE">
        <w:rPr>
          <w:rFonts w:asciiTheme="majorHAnsi" w:hAnsiTheme="majorHAnsi" w:cstheme="majorHAnsi"/>
          <w:i/>
          <w:sz w:val="24"/>
          <w:szCs w:val="24"/>
        </w:rPr>
        <w:t>¿Qué es esa cosa llamada ciencia?</w:t>
      </w:r>
      <w:r w:rsidRPr="00EE0AFE">
        <w:rPr>
          <w:rFonts w:asciiTheme="majorHAnsi" w:hAnsiTheme="majorHAnsi" w:cstheme="majorHAnsi"/>
          <w:sz w:val="24"/>
          <w:szCs w:val="24"/>
        </w:rPr>
        <w:t xml:space="preserve"> Buenos Aires: Siglo XXI.</w:t>
      </w:r>
    </w:p>
    <w:p w14:paraId="4FBD763B" w14:textId="77777777" w:rsidR="00A34CE3" w:rsidRPr="00EE0AFE" w:rsidRDefault="00C3591D" w:rsidP="00A34CE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E0AFE">
        <w:rPr>
          <w:rFonts w:asciiTheme="majorHAnsi" w:hAnsiTheme="majorHAnsi" w:cstheme="majorHAnsi"/>
          <w:sz w:val="24"/>
          <w:szCs w:val="24"/>
        </w:rPr>
        <w:t>Chuliá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, E y Agulló, M. (2012). Como se hace un trabajo de Investigación en Ciencia Política. Madrid: Cataratas. </w:t>
      </w:r>
    </w:p>
    <w:p w14:paraId="326D829C" w14:textId="77777777" w:rsidR="00A34CE3" w:rsidRPr="00EE0AFE" w:rsidRDefault="00A34CE3" w:rsidP="00A34CE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>Della Porta, D y Keating, M. (</w:t>
      </w:r>
      <w:r w:rsidR="00EE0AFE">
        <w:rPr>
          <w:rFonts w:asciiTheme="majorHAnsi" w:hAnsiTheme="majorHAnsi" w:cstheme="majorHAnsi"/>
          <w:sz w:val="24"/>
          <w:szCs w:val="24"/>
        </w:rPr>
        <w:t>2013 – 2008</w:t>
      </w:r>
      <w:r w:rsidRPr="00EE0AFE">
        <w:rPr>
          <w:rFonts w:asciiTheme="majorHAnsi" w:hAnsiTheme="majorHAnsi" w:cstheme="majorHAnsi"/>
          <w:sz w:val="24"/>
          <w:szCs w:val="24"/>
        </w:rPr>
        <w:t>) (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Eds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>)</w:t>
      </w:r>
      <w:r w:rsidR="00EE0AFE">
        <w:rPr>
          <w:rFonts w:asciiTheme="majorHAnsi" w:hAnsiTheme="majorHAnsi" w:cstheme="majorHAnsi"/>
          <w:sz w:val="24"/>
          <w:szCs w:val="24"/>
        </w:rPr>
        <w:t>.</w:t>
      </w:r>
      <w:r w:rsidRPr="00EE0AFE">
        <w:rPr>
          <w:rFonts w:asciiTheme="majorHAnsi" w:hAnsiTheme="majorHAnsi" w:cstheme="majorHAnsi"/>
          <w:sz w:val="24"/>
          <w:szCs w:val="24"/>
        </w:rPr>
        <w:t xml:space="preserve"> ¿Cuántos enfoques hay en las ciencias sociales? En D. Della Porta y M. Keating (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eds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) </w:t>
      </w:r>
      <w:r w:rsidRPr="00EE0AFE">
        <w:rPr>
          <w:rFonts w:asciiTheme="majorHAnsi" w:hAnsiTheme="majorHAnsi" w:cstheme="majorHAnsi"/>
          <w:i/>
          <w:sz w:val="24"/>
          <w:szCs w:val="24"/>
        </w:rPr>
        <w:t>Enfoques y metodologías de las ciencias sociales.</w:t>
      </w:r>
      <w:r w:rsidRPr="00EE0AFE">
        <w:rPr>
          <w:rFonts w:asciiTheme="majorHAnsi" w:hAnsiTheme="majorHAnsi" w:cstheme="majorHAnsi"/>
          <w:sz w:val="24"/>
          <w:szCs w:val="24"/>
        </w:rPr>
        <w:t xml:space="preserve"> Una perspectiva pluralista. Madrid: Aka.</w:t>
      </w:r>
    </w:p>
    <w:p w14:paraId="2E3877F6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Esquivel, J. C., M. Carbonelli y G. Irrazábal (2011). </w:t>
      </w:r>
      <w:r w:rsidRPr="00EE0AFE">
        <w:rPr>
          <w:rFonts w:asciiTheme="majorHAnsi" w:hAnsiTheme="majorHAnsi" w:cstheme="majorHAnsi"/>
          <w:i/>
          <w:sz w:val="24"/>
          <w:szCs w:val="24"/>
        </w:rPr>
        <w:t>Introducción al conocimiento científico y a la metodología de la investigación</w:t>
      </w:r>
      <w:r w:rsidRPr="00EE0AFE">
        <w:rPr>
          <w:rFonts w:asciiTheme="majorHAnsi" w:hAnsiTheme="majorHAnsi" w:cstheme="majorHAnsi"/>
          <w:sz w:val="24"/>
          <w:szCs w:val="24"/>
        </w:rPr>
        <w:t>. Florencio Varela: Universidad Nacional Arturo Jauretche.</w:t>
      </w:r>
    </w:p>
    <w:p w14:paraId="475ED150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Hernández Sampieri, Roberto; Fernández Collado, Carlos y Baptista Lucio, Pilar (1991). </w:t>
      </w:r>
      <w:r w:rsidRPr="00EE0AFE">
        <w:rPr>
          <w:rFonts w:asciiTheme="majorHAnsi" w:hAnsiTheme="majorHAnsi" w:cstheme="majorHAnsi"/>
          <w:i/>
          <w:sz w:val="24"/>
          <w:szCs w:val="24"/>
        </w:rPr>
        <w:t>Metodología de la investigación</w:t>
      </w:r>
      <w:r w:rsidRPr="00EE0AFE">
        <w:rPr>
          <w:rFonts w:asciiTheme="majorHAnsi" w:hAnsiTheme="majorHAnsi" w:cstheme="majorHAnsi"/>
          <w:sz w:val="24"/>
          <w:szCs w:val="24"/>
        </w:rPr>
        <w:t>. México, Mc Graw-Hill.</w:t>
      </w:r>
    </w:p>
    <w:p w14:paraId="1B90C5B4" w14:textId="77777777" w:rsidR="00C3591D" w:rsidRPr="00EE0AFE" w:rsidRDefault="00C3591D" w:rsidP="00C3591D">
      <w:pPr>
        <w:pStyle w:val="Prrafodelista"/>
        <w:numPr>
          <w:ilvl w:val="0"/>
          <w:numId w:val="2"/>
        </w:numPr>
        <w:suppressAutoHyphens/>
        <w:spacing w:after="12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Kornblit, A. L. (coord.) (2004). </w:t>
      </w:r>
      <w:r w:rsidRPr="00EE0AFE">
        <w:rPr>
          <w:rFonts w:asciiTheme="majorHAnsi" w:hAnsiTheme="majorHAnsi" w:cstheme="majorHAnsi"/>
          <w:i/>
          <w:sz w:val="24"/>
          <w:szCs w:val="24"/>
        </w:rPr>
        <w:t>Metodologías cualitativas en Ciencias Sociales. Modelos y procedimientos de análisis</w:t>
      </w:r>
      <w:r w:rsidRPr="00EE0AFE">
        <w:rPr>
          <w:rFonts w:asciiTheme="majorHAnsi" w:hAnsiTheme="majorHAnsi" w:cstheme="majorHAnsi"/>
          <w:sz w:val="24"/>
          <w:szCs w:val="24"/>
        </w:rPr>
        <w:t>. Buenos Aires: Biblos.</w:t>
      </w:r>
    </w:p>
    <w:p w14:paraId="1BFD437D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EE0AFE">
        <w:rPr>
          <w:rFonts w:asciiTheme="majorHAnsi" w:hAnsiTheme="majorHAnsi" w:cstheme="majorHAnsi"/>
          <w:sz w:val="24"/>
          <w:szCs w:val="24"/>
        </w:rPr>
        <w:t>Przeworski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, A. y 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Salomon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, F. (1995). </w:t>
      </w:r>
      <w:r w:rsidRPr="00EE0AFE">
        <w:rPr>
          <w:rFonts w:asciiTheme="majorHAnsi" w:hAnsiTheme="majorHAnsi" w:cstheme="majorHAnsi"/>
          <w:i/>
          <w:sz w:val="24"/>
          <w:szCs w:val="24"/>
          <w:lang w:val="en-US"/>
        </w:rPr>
        <w:t>On the art of writing proposals</w:t>
      </w:r>
      <w:r w:rsidRPr="00EE0AFE">
        <w:rPr>
          <w:rFonts w:asciiTheme="majorHAnsi" w:hAnsiTheme="majorHAnsi" w:cstheme="majorHAnsi"/>
          <w:sz w:val="24"/>
          <w:szCs w:val="24"/>
          <w:lang w:val="en-US"/>
        </w:rPr>
        <w:t>. New York: Social Science Research Council.</w:t>
      </w:r>
    </w:p>
    <w:p w14:paraId="5E12D59F" w14:textId="77777777" w:rsidR="00C3591D" w:rsidRPr="00EE0AFE" w:rsidRDefault="00C3591D" w:rsidP="00C3591D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Sautu, R. (2003). </w:t>
      </w:r>
      <w:r w:rsidRPr="00EE0AFE">
        <w:rPr>
          <w:rFonts w:asciiTheme="majorHAnsi" w:hAnsiTheme="majorHAnsi" w:cstheme="majorHAnsi"/>
          <w:i/>
          <w:sz w:val="24"/>
          <w:szCs w:val="24"/>
        </w:rPr>
        <w:t>Todo es teoría.  Objetivos y métodos de investigación.</w:t>
      </w:r>
      <w:r w:rsidRPr="00EE0AFE">
        <w:rPr>
          <w:rFonts w:asciiTheme="majorHAnsi" w:hAnsiTheme="majorHAnsi" w:cstheme="majorHAnsi"/>
          <w:sz w:val="24"/>
          <w:szCs w:val="24"/>
        </w:rPr>
        <w:t xml:space="preserve"> </w:t>
      </w:r>
      <w:r w:rsidRPr="00EE0AFE">
        <w:rPr>
          <w:rFonts w:asciiTheme="majorHAnsi" w:hAnsiTheme="majorHAnsi" w:cstheme="majorHAnsi"/>
          <w:sz w:val="24"/>
          <w:szCs w:val="24"/>
          <w:lang w:val="en-US"/>
        </w:rPr>
        <w:t xml:space="preserve">Buenos Aires: Editorial Lumiere.  </w:t>
      </w:r>
    </w:p>
    <w:p w14:paraId="139A0BFB" w14:textId="77777777" w:rsidR="00C3591D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Sautu, R.; 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Boniolo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, P.; Dalle, P.; Elbert, R. (2005). </w:t>
      </w:r>
      <w:r w:rsidRPr="00EE0AFE">
        <w:rPr>
          <w:rFonts w:asciiTheme="majorHAnsi" w:hAnsiTheme="majorHAnsi" w:cstheme="majorHAnsi"/>
          <w:i/>
          <w:sz w:val="24"/>
          <w:szCs w:val="24"/>
        </w:rPr>
        <w:t>Manual de metodología. Construcción del marco teórico, formulación de los objetivos y elección de la metodología</w:t>
      </w:r>
      <w:r w:rsidRPr="00EE0AFE">
        <w:rPr>
          <w:rFonts w:asciiTheme="majorHAnsi" w:hAnsiTheme="majorHAnsi" w:cstheme="majorHAnsi"/>
          <w:sz w:val="24"/>
          <w:szCs w:val="24"/>
        </w:rPr>
        <w:t>. Buenos Aires: CLACSO.</w:t>
      </w:r>
    </w:p>
    <w:p w14:paraId="17CA6025" w14:textId="77777777" w:rsidR="00EE0AFE" w:rsidRPr="00EE0AFE" w:rsidRDefault="00EE0AFE" w:rsidP="00EE0AF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eastAsia="es-ES"/>
        </w:rPr>
      </w:pPr>
      <w:r w:rsidRPr="00EE0AFE">
        <w:rPr>
          <w:rFonts w:asciiTheme="majorHAnsi" w:hAnsiTheme="majorHAnsi" w:cstheme="majorHAnsi"/>
          <w:sz w:val="24"/>
          <w:szCs w:val="24"/>
          <w:lang w:eastAsia="es-ES"/>
        </w:rPr>
        <w:t xml:space="preserve">Schuster, F. L (2002). “Del naturalismo al escenario </w:t>
      </w:r>
      <w:proofErr w:type="spellStart"/>
      <w:r w:rsidRPr="00EE0AFE">
        <w:rPr>
          <w:rFonts w:asciiTheme="majorHAnsi" w:hAnsiTheme="majorHAnsi" w:cstheme="majorHAnsi"/>
          <w:sz w:val="24"/>
          <w:szCs w:val="24"/>
          <w:lang w:eastAsia="es-ES"/>
        </w:rPr>
        <w:t>posempirista</w:t>
      </w:r>
      <w:proofErr w:type="spellEnd"/>
      <w:r w:rsidRPr="00EE0AFE">
        <w:rPr>
          <w:rFonts w:asciiTheme="majorHAnsi" w:hAnsiTheme="majorHAnsi" w:cstheme="majorHAnsi"/>
          <w:sz w:val="24"/>
          <w:szCs w:val="24"/>
          <w:lang w:eastAsia="es-ES"/>
        </w:rPr>
        <w:t>”, en F. L. Schuster (</w:t>
      </w:r>
      <w:proofErr w:type="spellStart"/>
      <w:r w:rsidRPr="00EE0AFE">
        <w:rPr>
          <w:rFonts w:asciiTheme="majorHAnsi" w:hAnsiTheme="majorHAnsi" w:cstheme="majorHAnsi"/>
          <w:sz w:val="24"/>
          <w:szCs w:val="24"/>
          <w:lang w:eastAsia="es-ES"/>
        </w:rPr>
        <w:t>comp.</w:t>
      </w:r>
      <w:proofErr w:type="spellEnd"/>
      <w:r w:rsidRPr="00EE0AFE">
        <w:rPr>
          <w:rFonts w:asciiTheme="majorHAnsi" w:hAnsiTheme="majorHAnsi" w:cstheme="majorHAnsi"/>
          <w:sz w:val="24"/>
          <w:szCs w:val="24"/>
          <w:lang w:eastAsia="es-ES"/>
        </w:rPr>
        <w:t xml:space="preserve">) </w:t>
      </w:r>
      <w:r w:rsidRPr="00EE0AFE">
        <w:rPr>
          <w:rFonts w:asciiTheme="majorHAnsi" w:hAnsiTheme="majorHAnsi" w:cstheme="majorHAnsi"/>
          <w:i/>
          <w:sz w:val="24"/>
          <w:szCs w:val="24"/>
          <w:lang w:eastAsia="es-ES"/>
        </w:rPr>
        <w:t>Filosofía y Métodos de las ciencias Sociales.</w:t>
      </w:r>
      <w:r w:rsidRPr="00EE0AFE">
        <w:rPr>
          <w:rFonts w:asciiTheme="majorHAnsi" w:hAnsiTheme="majorHAnsi" w:cstheme="majorHAnsi"/>
          <w:sz w:val="24"/>
          <w:szCs w:val="24"/>
          <w:lang w:eastAsia="es-ES"/>
        </w:rPr>
        <w:t xml:space="preserve">  Buenos Aires: Manantial. </w:t>
      </w:r>
    </w:p>
    <w:p w14:paraId="49D73B9D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E0AFE">
        <w:rPr>
          <w:rFonts w:asciiTheme="majorHAnsi" w:hAnsiTheme="majorHAnsi" w:cstheme="majorHAnsi"/>
          <w:sz w:val="24"/>
          <w:szCs w:val="24"/>
        </w:rPr>
        <w:t xml:space="preserve">Tamayo y Tamayo, Mario (2004). </w:t>
      </w:r>
      <w:r w:rsidRPr="00EE0AFE">
        <w:rPr>
          <w:rFonts w:asciiTheme="majorHAnsi" w:hAnsiTheme="majorHAnsi" w:cstheme="majorHAnsi"/>
          <w:i/>
          <w:sz w:val="24"/>
          <w:szCs w:val="24"/>
        </w:rPr>
        <w:t>El proceso de la investigación científica</w:t>
      </w:r>
      <w:r w:rsidRPr="00EE0AFE">
        <w:rPr>
          <w:rFonts w:asciiTheme="majorHAnsi" w:hAnsiTheme="majorHAnsi" w:cstheme="majorHAnsi"/>
          <w:sz w:val="24"/>
          <w:szCs w:val="24"/>
        </w:rPr>
        <w:t>. México: Limusa.</w:t>
      </w:r>
    </w:p>
    <w:p w14:paraId="6116DD82" w14:textId="77777777" w:rsidR="00C3591D" w:rsidRPr="00EE0AFE" w:rsidRDefault="00C3591D" w:rsidP="00C3591D">
      <w:pPr>
        <w:numPr>
          <w:ilvl w:val="0"/>
          <w:numId w:val="2"/>
        </w:numPr>
        <w:suppressAutoHyphens/>
        <w:spacing w:after="12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E0AFE">
        <w:rPr>
          <w:rFonts w:asciiTheme="majorHAnsi" w:hAnsiTheme="majorHAnsi" w:cstheme="majorHAnsi"/>
          <w:sz w:val="24"/>
          <w:szCs w:val="24"/>
        </w:rPr>
        <w:t>Wainerman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, C. y R. 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Sautu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comps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 xml:space="preserve">.) (2001). </w:t>
      </w:r>
      <w:r w:rsidRPr="00EE0AFE">
        <w:rPr>
          <w:rFonts w:asciiTheme="majorHAnsi" w:hAnsiTheme="majorHAnsi" w:cstheme="majorHAnsi"/>
          <w:i/>
          <w:sz w:val="24"/>
          <w:szCs w:val="24"/>
        </w:rPr>
        <w:t>La trastienda de la investigación</w:t>
      </w:r>
      <w:r w:rsidRPr="00EE0AFE">
        <w:rPr>
          <w:rFonts w:asciiTheme="majorHAnsi" w:hAnsiTheme="majorHAnsi" w:cstheme="majorHAnsi"/>
          <w:sz w:val="24"/>
          <w:szCs w:val="24"/>
        </w:rPr>
        <w:t xml:space="preserve">. Buenos Aires: </w:t>
      </w:r>
      <w:proofErr w:type="spellStart"/>
      <w:r w:rsidRPr="00EE0AFE">
        <w:rPr>
          <w:rFonts w:asciiTheme="majorHAnsi" w:hAnsiTheme="majorHAnsi" w:cstheme="majorHAnsi"/>
          <w:sz w:val="24"/>
          <w:szCs w:val="24"/>
        </w:rPr>
        <w:t>Lumiere</w:t>
      </w:r>
      <w:proofErr w:type="spellEnd"/>
      <w:r w:rsidRPr="00EE0AFE">
        <w:rPr>
          <w:rFonts w:asciiTheme="majorHAnsi" w:hAnsiTheme="majorHAnsi" w:cstheme="majorHAnsi"/>
          <w:sz w:val="24"/>
          <w:szCs w:val="24"/>
        </w:rPr>
        <w:t>.</w:t>
      </w:r>
    </w:p>
    <w:p w14:paraId="453CBE82" w14:textId="77777777" w:rsidR="00F2149E" w:rsidRPr="00EE0AFE" w:rsidRDefault="00F2149E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6656BD9" w14:textId="77777777" w:rsidR="00F2149E" w:rsidRPr="00EE0AFE" w:rsidRDefault="001A5117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0AFE">
        <w:rPr>
          <w:rFonts w:asciiTheme="majorHAnsi" w:hAnsiTheme="majorHAnsi" w:cstheme="majorHAnsi"/>
          <w:b/>
          <w:sz w:val="28"/>
          <w:szCs w:val="28"/>
        </w:rPr>
        <w:t>Metodología de cursada y evaluación</w:t>
      </w:r>
    </w:p>
    <w:p w14:paraId="3BE74FE1" w14:textId="15954049" w:rsidR="00E629B0" w:rsidRPr="00EE0AFE" w:rsidRDefault="00E629B0" w:rsidP="00E629B0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val="es-ES" w:eastAsia="en-US"/>
        </w:rPr>
      </w:pP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 xml:space="preserve">El curso se dictará en forma </w:t>
      </w:r>
      <w:r w:rsidR="00234D6F">
        <w:rPr>
          <w:rFonts w:asciiTheme="majorHAnsi" w:hAnsiTheme="majorHAnsi" w:cstheme="majorHAnsi"/>
          <w:sz w:val="24"/>
          <w:szCs w:val="24"/>
          <w:lang w:val="es-ES" w:eastAsia="en-US"/>
        </w:rPr>
        <w:t>virtual</w:t>
      </w: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>, en una modalidad que combina clases expositivas y trabajo en taller. La exposición del contenido de las unidades temáticas estará a cargo delos docentes. Los encuentros en formato taller seguirán la siguiente dinámica:</w:t>
      </w:r>
    </w:p>
    <w:p w14:paraId="33F041BB" w14:textId="518038D3" w:rsidR="00E629B0" w:rsidRPr="00EE0AFE" w:rsidRDefault="00E629B0" w:rsidP="00E629B0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val="es-ES" w:eastAsia="en-US"/>
        </w:rPr>
      </w:pP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>•</w:t>
      </w: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ab/>
        <w:t>A partir de consignas precisas, cada tesista deberá entregar un ejercicio hasta 4 días antes del encuentro p</w:t>
      </w:r>
      <w:r w:rsidR="00234D6F">
        <w:rPr>
          <w:rFonts w:asciiTheme="majorHAnsi" w:hAnsiTheme="majorHAnsi" w:cstheme="majorHAnsi"/>
          <w:sz w:val="24"/>
          <w:szCs w:val="24"/>
          <w:lang w:val="es-ES" w:eastAsia="en-US"/>
        </w:rPr>
        <w:t>actado</w:t>
      </w: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 xml:space="preserve">. Éste será devuelto con observaciones y sugerencias </w:t>
      </w: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lastRenderedPageBreak/>
        <w:t>detalladas por escrito de parte de un docente y de un/a tallerista más. Sobre las mismas se trabajará en los encuentros.</w:t>
      </w:r>
    </w:p>
    <w:p w14:paraId="2316785B" w14:textId="77777777" w:rsidR="00626BF9" w:rsidRPr="00EE0AFE" w:rsidRDefault="00E629B0" w:rsidP="00E629B0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val="es-ES" w:eastAsia="en-US"/>
        </w:rPr>
      </w:pP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>•</w:t>
      </w: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ab/>
        <w:t xml:space="preserve">En los encuentros presenciales se discutirá acerca de las grandes cuestiones relativas a una tesis que dichas observaciones suscitan o ilustran, focalizándose en soluciones de índole práctica de los problemas concretos que supone el diseño de un plan de Trabajo </w:t>
      </w:r>
      <w:r w:rsidR="00FE29C6" w:rsidRPr="00EE0AFE">
        <w:rPr>
          <w:rFonts w:asciiTheme="majorHAnsi" w:hAnsiTheme="majorHAnsi" w:cstheme="majorHAnsi"/>
          <w:sz w:val="24"/>
          <w:szCs w:val="24"/>
          <w:lang w:val="es-ES" w:eastAsia="en-US"/>
        </w:rPr>
        <w:t>Final y la escritura del mismo.</w:t>
      </w:r>
    </w:p>
    <w:p w14:paraId="3013F13C" w14:textId="77777777" w:rsidR="00E629B0" w:rsidRPr="00EE0AFE" w:rsidRDefault="00E629B0" w:rsidP="00E629B0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val="es-ES" w:eastAsia="en-US"/>
        </w:rPr>
      </w:pP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>Durante el curso los docentes enviarán por correo electrónico material bibliográfico con el objetivo de introducir los principales tópicos que serán abordados en el seminario</w:t>
      </w:r>
    </w:p>
    <w:p w14:paraId="081A4ACA" w14:textId="77777777" w:rsidR="00E629B0" w:rsidRPr="00E629B0" w:rsidRDefault="00E629B0" w:rsidP="00E629B0">
      <w:p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val="es-ES" w:eastAsia="en-US"/>
        </w:rPr>
      </w:pPr>
      <w:r w:rsidRPr="00E629B0">
        <w:rPr>
          <w:rFonts w:asciiTheme="majorHAnsi" w:hAnsiTheme="majorHAnsi" w:cstheme="majorHAnsi"/>
          <w:sz w:val="24"/>
          <w:szCs w:val="24"/>
          <w:lang w:val="es-ES" w:eastAsia="en-US"/>
        </w:rPr>
        <w:t>La aprobación del s</w:t>
      </w:r>
      <w:r w:rsidRPr="00EE0AFE">
        <w:rPr>
          <w:rFonts w:asciiTheme="majorHAnsi" w:hAnsiTheme="majorHAnsi" w:cstheme="majorHAnsi"/>
          <w:sz w:val="24"/>
          <w:szCs w:val="24"/>
          <w:lang w:val="es-ES" w:eastAsia="en-US"/>
        </w:rPr>
        <w:t>eminario estará sujeta a: a)</w:t>
      </w:r>
      <w:r w:rsidR="00E80777" w:rsidRPr="00EE0AFE">
        <w:rPr>
          <w:rFonts w:asciiTheme="majorHAnsi" w:hAnsiTheme="majorHAnsi" w:cstheme="majorHAnsi"/>
          <w:sz w:val="24"/>
          <w:szCs w:val="24"/>
          <w:lang w:val="es-ES" w:eastAsia="en-US"/>
        </w:rPr>
        <w:t xml:space="preserve"> </w:t>
      </w:r>
      <w:r w:rsidRPr="00E629B0">
        <w:rPr>
          <w:rFonts w:asciiTheme="majorHAnsi" w:hAnsiTheme="majorHAnsi" w:cstheme="majorHAnsi"/>
          <w:sz w:val="24"/>
          <w:szCs w:val="24"/>
          <w:lang w:val="es-ES" w:eastAsia="en-US"/>
        </w:rPr>
        <w:t xml:space="preserve">la asistencia y la participación en clase (75%); b) la entrega en tiempo y forma de los dos ejercicios durante la cursada; y c) un trabajo final consistente en un ante-proyecto de artículo largo (para estudiantes de la especialización) o un ante-proyecto de investigación de maestría (para quienes la cursen). </w:t>
      </w:r>
    </w:p>
    <w:p w14:paraId="73B3DF80" w14:textId="77777777" w:rsidR="00E629B0" w:rsidRPr="00E629B0" w:rsidRDefault="00E629B0" w:rsidP="00E629B0">
      <w:pPr>
        <w:spacing w:after="200" w:line="276" w:lineRule="auto"/>
        <w:jc w:val="both"/>
        <w:rPr>
          <w:rFonts w:asciiTheme="majorHAnsi" w:hAnsiTheme="majorHAnsi" w:cstheme="majorHAnsi"/>
          <w:i/>
          <w:color w:val="FF0000"/>
          <w:sz w:val="24"/>
          <w:szCs w:val="24"/>
          <w:lang w:val="es-ES" w:eastAsia="en-US"/>
        </w:rPr>
      </w:pPr>
      <w:r w:rsidRPr="00E629B0">
        <w:rPr>
          <w:rFonts w:asciiTheme="majorHAnsi" w:hAnsiTheme="majorHAnsi" w:cstheme="majorHAnsi"/>
          <w:sz w:val="24"/>
          <w:szCs w:val="24"/>
          <w:lang w:val="es-ES" w:eastAsia="en-US"/>
        </w:rPr>
        <w:t xml:space="preserve">Los requisitos del mencionado anteproyecto, así como los plazos de entrega, serán estipulados al inicio de la cursada. </w:t>
      </w:r>
      <w:r w:rsidR="00626BF9" w:rsidRPr="00EE0AFE">
        <w:rPr>
          <w:rFonts w:asciiTheme="majorHAnsi" w:hAnsiTheme="majorHAnsi" w:cstheme="majorHAnsi"/>
          <w:sz w:val="24"/>
          <w:szCs w:val="24"/>
          <w:lang w:val="es-ES" w:eastAsia="en-US"/>
        </w:rPr>
        <w:t xml:space="preserve"> Cabe destacar que la fecha de entrega de trabajos finales se encuentra estandarizada por la facultad</w:t>
      </w:r>
      <w:r w:rsidR="00562C05">
        <w:rPr>
          <w:rFonts w:asciiTheme="majorHAnsi" w:hAnsiTheme="majorHAnsi" w:cstheme="majorHAnsi"/>
          <w:sz w:val="24"/>
          <w:szCs w:val="24"/>
          <w:lang w:val="es-ES" w:eastAsia="en-US"/>
        </w:rPr>
        <w:t xml:space="preserve">. </w:t>
      </w:r>
      <w:r w:rsidR="00626BF9" w:rsidRPr="00EE0AFE">
        <w:rPr>
          <w:rFonts w:asciiTheme="majorHAnsi" w:hAnsiTheme="majorHAnsi" w:cstheme="majorHAnsi"/>
          <w:sz w:val="24"/>
          <w:szCs w:val="24"/>
          <w:lang w:val="es-ES" w:eastAsia="en-US"/>
        </w:rPr>
        <w:t xml:space="preserve"> </w:t>
      </w:r>
    </w:p>
    <w:p w14:paraId="56923393" w14:textId="77777777" w:rsidR="00F2149E" w:rsidRPr="00EE0AFE" w:rsidRDefault="00F2149E">
      <w:pPr>
        <w:jc w:val="both"/>
        <w:rPr>
          <w:rFonts w:asciiTheme="majorHAnsi" w:hAnsiTheme="majorHAnsi" w:cstheme="majorHAnsi"/>
          <w:b/>
          <w:sz w:val="36"/>
          <w:szCs w:val="36"/>
          <w:lang w:val="es-ES"/>
        </w:rPr>
      </w:pPr>
      <w:bookmarkStart w:id="0" w:name="_GoBack"/>
      <w:bookmarkEnd w:id="0"/>
    </w:p>
    <w:sectPr w:rsidR="00F2149E" w:rsidRPr="00EE0AFE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93EB" w14:textId="77777777" w:rsidR="00862DCA" w:rsidRDefault="00862DCA">
      <w:pPr>
        <w:spacing w:after="0" w:line="240" w:lineRule="auto"/>
      </w:pPr>
      <w:r>
        <w:separator/>
      </w:r>
    </w:p>
  </w:endnote>
  <w:endnote w:type="continuationSeparator" w:id="0">
    <w:p w14:paraId="66C6740B" w14:textId="77777777" w:rsidR="00862DCA" w:rsidRDefault="0086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70B7" w14:textId="77777777" w:rsidR="00862DCA" w:rsidRDefault="00862DCA">
      <w:pPr>
        <w:spacing w:after="0" w:line="240" w:lineRule="auto"/>
      </w:pPr>
      <w:r>
        <w:separator/>
      </w:r>
    </w:p>
  </w:footnote>
  <w:footnote w:type="continuationSeparator" w:id="0">
    <w:p w14:paraId="18DB13E7" w14:textId="77777777" w:rsidR="00862DCA" w:rsidRDefault="0086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453C" w14:textId="77777777"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0" locked="0" layoutInCell="1" hidden="0" allowOverlap="1" wp14:anchorId="5A3D0A7D" wp14:editId="72C839B8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43DB3A" w14:textId="77777777"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D62"/>
    <w:multiLevelType w:val="hybridMultilevel"/>
    <w:tmpl w:val="9AD0CB84"/>
    <w:lvl w:ilvl="0" w:tplc="3F8A0ED6">
      <w:start w:val="1"/>
      <w:numFmt w:val="bullet"/>
      <w:lvlText w:val="•"/>
      <w:lvlJc w:val="left"/>
      <w:pPr>
        <w:ind w:left="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8CBD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2B5B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AF4D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4A74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8976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4AFBC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F77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CBB78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A5C90"/>
    <w:multiLevelType w:val="hybridMultilevel"/>
    <w:tmpl w:val="738E8C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49E"/>
    <w:rsid w:val="00194F2C"/>
    <w:rsid w:val="001A5117"/>
    <w:rsid w:val="00234D6F"/>
    <w:rsid w:val="00307608"/>
    <w:rsid w:val="0032789D"/>
    <w:rsid w:val="00562C05"/>
    <w:rsid w:val="00626BF9"/>
    <w:rsid w:val="00665226"/>
    <w:rsid w:val="007C1009"/>
    <w:rsid w:val="0080325E"/>
    <w:rsid w:val="00862DCA"/>
    <w:rsid w:val="009641A9"/>
    <w:rsid w:val="009817DF"/>
    <w:rsid w:val="009A2FD5"/>
    <w:rsid w:val="00A34CE3"/>
    <w:rsid w:val="00A75D76"/>
    <w:rsid w:val="00C3591D"/>
    <w:rsid w:val="00D60D5D"/>
    <w:rsid w:val="00E629B0"/>
    <w:rsid w:val="00E80777"/>
    <w:rsid w:val="00E82A15"/>
    <w:rsid w:val="00EE0AFE"/>
    <w:rsid w:val="00F2149E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D496"/>
  <w15:docId w15:val="{CCAE9287-8672-4932-86E7-E9AE0382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3591D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1475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marcos</cp:lastModifiedBy>
  <cp:revision>13</cp:revision>
  <dcterms:created xsi:type="dcterms:W3CDTF">2020-03-17T10:25:00Z</dcterms:created>
  <dcterms:modified xsi:type="dcterms:W3CDTF">2020-06-25T11:31:00Z</dcterms:modified>
</cp:coreProperties>
</file>