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3C" w:rsidRPr="00E717A2" w:rsidRDefault="00E41859" w:rsidP="00FD753C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657497153"/>
          <w:placeholder>
            <w:docPart w:val="E0BB383B251F4687AC23CCA1DD0536E6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EndPr/>
        <w:sdtContent>
          <w:r w:rsidR="00FD753C">
            <w:rPr>
              <w:rFonts w:ascii="Agency FB" w:hAnsi="Agency FB"/>
              <w:b/>
              <w:sz w:val="40"/>
              <w:szCs w:val="40"/>
            </w:rPr>
            <w:t>Maestría en Ciencias Sociales del Trabajo</w:t>
          </w:r>
        </w:sdtContent>
      </w:sdt>
      <w:r w:rsidR="00FD753C" w:rsidRPr="004F345F">
        <w:rPr>
          <w:rFonts w:ascii="Agency FB" w:hAnsi="Agency FB"/>
          <w:b/>
          <w:sz w:val="40"/>
          <w:szCs w:val="40"/>
        </w:rPr>
        <w:t>– Ciclo lectivo 202</w:t>
      </w:r>
      <w:r w:rsidR="00411B1D">
        <w:rPr>
          <w:rFonts w:ascii="Agency FB" w:hAnsi="Agency FB"/>
          <w:b/>
          <w:sz w:val="40"/>
          <w:szCs w:val="40"/>
        </w:rPr>
        <w:t>1</w:t>
      </w:r>
    </w:p>
    <w:p w:rsidR="00FD753C" w:rsidRPr="002364F8" w:rsidRDefault="00FD753C" w:rsidP="00FD753C">
      <w:pPr>
        <w:jc w:val="center"/>
        <w:rPr>
          <w:rFonts w:ascii="Agency FB" w:hAnsi="Agency FB" w:cstheme="minorHAnsi"/>
          <w:b/>
          <w:noProof/>
          <w:sz w:val="28"/>
          <w:szCs w:val="28"/>
          <w:lang w:eastAsia="es-AR"/>
        </w:rPr>
      </w:pPr>
      <w:r w:rsidRPr="002364F8">
        <w:rPr>
          <w:rFonts w:ascii="Agency FB" w:hAnsi="Agency FB" w:cstheme="minorHAnsi"/>
          <w:b/>
          <w:bCs/>
          <w:color w:val="000000" w:themeColor="text1"/>
          <w:sz w:val="28"/>
          <w:szCs w:val="28"/>
        </w:rPr>
        <w:t>Materia</w:t>
      </w:r>
      <w:r w:rsidRPr="002364F8">
        <w:rPr>
          <w:rFonts w:ascii="Agency FB" w:hAnsi="Agency FB" w:cstheme="minorHAnsi"/>
          <w:sz w:val="28"/>
          <w:szCs w:val="28"/>
        </w:rPr>
        <w:t xml:space="preserve"> DERECHO DEL TRABAJO Y LA SEGURIDAD SOCIAL</w:t>
      </w:r>
    </w:p>
    <w:p w:rsidR="00FD753C" w:rsidRDefault="00FD753C" w:rsidP="00FD753C">
      <w:pPr>
        <w:jc w:val="both"/>
        <w:rPr>
          <w:b/>
          <w:noProof/>
          <w:sz w:val="28"/>
          <w:szCs w:val="28"/>
          <w:lang w:eastAsia="es-AR"/>
        </w:rPr>
      </w:pPr>
    </w:p>
    <w:p w:rsidR="00FD753C" w:rsidRDefault="00FD753C" w:rsidP="00FD753C">
      <w:pPr>
        <w:jc w:val="both"/>
        <w:rPr>
          <w:b/>
          <w:noProof/>
          <w:sz w:val="28"/>
          <w:szCs w:val="28"/>
          <w:lang w:eastAsia="es-AR"/>
        </w:rPr>
        <w:sectPr w:rsidR="00FD753C" w:rsidSect="00E717A2">
          <w:headerReference w:type="default" r:id="rId7"/>
          <w:footerReference w:type="default" r:id="rId8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FD753C" w:rsidRPr="00C21FF1" w:rsidRDefault="00FD753C" w:rsidP="00FD753C">
      <w:pPr>
        <w:jc w:val="both"/>
        <w:rPr>
          <w:b/>
          <w:noProof/>
          <w:sz w:val="28"/>
          <w:szCs w:val="28"/>
          <w:lang w:eastAsia="es-AR"/>
        </w:rPr>
      </w:pPr>
      <w:r w:rsidRPr="00C21FF1">
        <w:rPr>
          <w:b/>
          <w:noProof/>
          <w:sz w:val="28"/>
          <w:szCs w:val="28"/>
          <w:lang w:eastAsia="es-AR"/>
        </w:rPr>
        <w:lastRenderedPageBreak/>
        <w:t>Docente(s)</w:t>
      </w:r>
    </w:p>
    <w:p w:rsidR="00FD753C" w:rsidRPr="00C21FF1" w:rsidRDefault="00FD753C" w:rsidP="00FD753C">
      <w:pPr>
        <w:jc w:val="both"/>
        <w:rPr>
          <w:b/>
          <w:noProof/>
          <w:sz w:val="28"/>
          <w:szCs w:val="28"/>
          <w:lang w:eastAsia="es-AR"/>
        </w:rPr>
        <w:sectPr w:rsidR="00FD753C" w:rsidRPr="00C21FF1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FD753C" w:rsidRPr="00E13A2D" w:rsidRDefault="00FD753C" w:rsidP="00FD753C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  <w:r w:rsidRPr="00076B51">
        <w:rPr>
          <w:rFonts w:cs="Aharoni"/>
          <w:b/>
          <w:noProof/>
          <w:sz w:val="28"/>
          <w:szCs w:val="28"/>
          <w:lang w:eastAsia="es-AR"/>
        </w:rPr>
        <w:lastRenderedPageBreak/>
        <w:t>Dr. José  Tribuzio </w:t>
      </w:r>
      <w:r>
        <w:rPr>
          <w:b/>
          <w:noProof/>
          <w:sz w:val="24"/>
          <w:szCs w:val="24"/>
          <w:lang w:eastAsia="es-AR"/>
        </w:rPr>
        <w:t xml:space="preserve"> </w:t>
      </w:r>
    </w:p>
    <w:p w:rsidR="00893A8A" w:rsidRPr="00893A8A" w:rsidRDefault="00FD753C" w:rsidP="00893A8A">
      <w:pPr>
        <w:spacing w:line="240" w:lineRule="auto"/>
        <w:jc w:val="both"/>
        <w:rPr>
          <w:rFonts w:cs="Aharoni"/>
          <w:noProof/>
          <w:sz w:val="24"/>
          <w:szCs w:val="24"/>
          <w:lang w:eastAsia="es-AR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Pr="00076B51">
        <w:rPr>
          <w:rFonts w:cs="Aharoni"/>
          <w:noProof/>
          <w:sz w:val="24"/>
          <w:szCs w:val="24"/>
          <w:lang w:eastAsia="es-AR"/>
        </w:rPr>
        <w:lastRenderedPageBreak/>
        <w:t>Abogado por la Universidad de Buenos Aires (</w:t>
      </w:r>
      <w:r w:rsidR="005850E3">
        <w:rPr>
          <w:rFonts w:cs="Aharoni"/>
          <w:noProof/>
          <w:sz w:val="24"/>
          <w:szCs w:val="24"/>
          <w:lang w:eastAsia="es-AR"/>
        </w:rPr>
        <w:t>2002</w:t>
      </w:r>
      <w:bookmarkStart w:id="0" w:name="_GoBack"/>
      <w:bookmarkEnd w:id="0"/>
      <w:r w:rsidRPr="00076B51">
        <w:rPr>
          <w:rFonts w:cs="Aharoni"/>
          <w:noProof/>
          <w:sz w:val="24"/>
          <w:szCs w:val="24"/>
          <w:lang w:eastAsia="es-AR"/>
        </w:rPr>
        <w:t>), Profesor adjunto ad honorem de la materia Relaciones del trabajo de la Universidad de Buenos</w:t>
      </w:r>
      <w:r w:rsidR="00411B1D" w:rsidRPr="00411B1D">
        <w:rPr>
          <w:rFonts w:cs="Aharoni"/>
          <w:noProof/>
          <w:sz w:val="24"/>
          <w:szCs w:val="24"/>
          <w:lang w:eastAsia="es-AR"/>
        </w:rPr>
        <w:t>.</w:t>
      </w:r>
      <w:r w:rsidRPr="00411B1D">
        <w:rPr>
          <w:rFonts w:cs="Aharoni"/>
          <w:noProof/>
          <w:sz w:val="24"/>
          <w:szCs w:val="24"/>
          <w:lang w:eastAsia="es-AR"/>
        </w:rPr>
        <w:t xml:space="preserve"> </w:t>
      </w:r>
      <w:r w:rsidR="00B17044">
        <w:rPr>
          <w:rFonts w:cs="Aharoni"/>
          <w:noProof/>
          <w:sz w:val="24"/>
          <w:szCs w:val="24"/>
          <w:lang w:eastAsia="es-AR"/>
        </w:rPr>
        <w:t xml:space="preserve">Profesor en el Posgrado y Maestría en Derecho del Trabajo de la </w:t>
      </w:r>
      <w:r w:rsidR="00B17044" w:rsidRPr="00B17044">
        <w:rPr>
          <w:rFonts w:cs="Aharoni"/>
          <w:noProof/>
          <w:sz w:val="24"/>
          <w:szCs w:val="24"/>
          <w:lang w:eastAsia="es-AR"/>
        </w:rPr>
        <w:t xml:space="preserve">Facultad de Derecho de la </w:t>
      </w:r>
      <w:r w:rsidR="00B17044">
        <w:rPr>
          <w:rFonts w:cs="Aharoni"/>
          <w:noProof/>
          <w:sz w:val="24"/>
          <w:szCs w:val="24"/>
          <w:lang w:eastAsia="es-AR"/>
        </w:rPr>
        <w:t xml:space="preserve">Universidad Católica Argentina. Profesor en la Diplomatura y Maestría en Derecho del Trabajo de la Facultad de Derecho de la Universidad Austral. </w:t>
      </w:r>
      <w:r w:rsidR="00AB4C33">
        <w:rPr>
          <w:rFonts w:cs="Aharoni"/>
          <w:noProof/>
          <w:sz w:val="24"/>
          <w:szCs w:val="24"/>
          <w:lang w:eastAsia="es-AR"/>
        </w:rPr>
        <w:t>Autor de diversas publicaciones sobre la materia en revistas especializadas, libros y tratados. Asesor sindical.</w:t>
      </w:r>
      <w:r w:rsidR="00B17044">
        <w:rPr>
          <w:rFonts w:cs="Aharoni"/>
          <w:noProof/>
          <w:sz w:val="24"/>
          <w:szCs w:val="24"/>
          <w:lang w:eastAsia="es-AR"/>
        </w:rPr>
        <w:t xml:space="preserve">  </w:t>
      </w:r>
      <w:r w:rsidR="00893A8A">
        <w:rPr>
          <w:rFonts w:cs="Aharoni"/>
          <w:noProof/>
          <w:sz w:val="24"/>
          <w:szCs w:val="24"/>
          <w:lang w:eastAsia="es-AR"/>
        </w:rPr>
        <w:t>Publicaciones recientes: “</w:t>
      </w:r>
      <w:r w:rsidR="00893A8A" w:rsidRPr="00893A8A">
        <w:rPr>
          <w:rFonts w:cs="Aharoni"/>
          <w:noProof/>
          <w:sz w:val="24"/>
          <w:szCs w:val="24"/>
          <w:lang w:eastAsia="es-AR"/>
        </w:rPr>
        <w:t>La organización y representación sindical de quienes prestan servicios en favor de plataformas digitales”, en García, Héctor O. y Caparrós, Lucas (coord.), en “trabajo en plataforma</w:t>
      </w:r>
      <w:r w:rsidR="00893A8A">
        <w:rPr>
          <w:rFonts w:cs="Aharoni"/>
          <w:noProof/>
          <w:sz w:val="24"/>
          <w:szCs w:val="24"/>
          <w:lang w:eastAsia="es-AR"/>
        </w:rPr>
        <w:t xml:space="preserve">s digitales”, en prensa (EDIAR); </w:t>
      </w:r>
      <w:r w:rsidR="00893A8A" w:rsidRPr="00893A8A">
        <w:rPr>
          <w:rFonts w:cs="Aharoni"/>
          <w:noProof/>
          <w:sz w:val="24"/>
          <w:szCs w:val="24"/>
          <w:lang w:eastAsia="es-AR"/>
        </w:rPr>
        <w:t xml:space="preserve"> “Plataformas digitales y soberanía del trabajador sobre la determinación de la extensión y la distribución de su jornada de trabajo. Acerca de la necesidad de adoptar una norma estatutaria”, en “Derecho del Trabajo”, Buenos Aires, año LXXX, nº 5, septiembre 2020, pág. 13.</w:t>
      </w:r>
      <w:r w:rsidR="00893A8A">
        <w:rPr>
          <w:rFonts w:cs="Aharoni"/>
          <w:noProof/>
          <w:sz w:val="24"/>
          <w:szCs w:val="24"/>
          <w:lang w:eastAsia="es-AR"/>
        </w:rPr>
        <w:t xml:space="preserve">; </w:t>
      </w:r>
      <w:r w:rsidR="00893A8A" w:rsidRPr="00893A8A">
        <w:rPr>
          <w:rFonts w:cs="Aharoni"/>
          <w:noProof/>
          <w:sz w:val="24"/>
          <w:szCs w:val="24"/>
          <w:lang w:eastAsia="es-AR"/>
        </w:rPr>
        <w:t xml:space="preserve"> “Comentarios críticos a las modificaciones propuestas sobre los regímenes de contrato de trabajo y de convenciones colectivas en el proyecto de reforma laboral enviado por el Poder Ejecutivo al Congreso en noviembre de 2017”, AADTySS, website, enero 2018.</w:t>
      </w:r>
    </w:p>
    <w:p w:rsidR="00FD753C" w:rsidRPr="00411B1D" w:rsidRDefault="00B17044" w:rsidP="00FD753C">
      <w:pPr>
        <w:spacing w:line="240" w:lineRule="auto"/>
        <w:jc w:val="both"/>
        <w:rPr>
          <w:rFonts w:cs="Aharoni"/>
          <w:noProof/>
          <w:sz w:val="24"/>
          <w:szCs w:val="24"/>
          <w:lang w:eastAsia="es-AR"/>
        </w:rPr>
        <w:sectPr w:rsidR="00FD753C" w:rsidRPr="00411B1D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  <w:r>
        <w:rPr>
          <w:rFonts w:cs="Aharoni"/>
          <w:noProof/>
          <w:sz w:val="24"/>
          <w:szCs w:val="24"/>
          <w:lang w:eastAsia="es-AR"/>
        </w:rPr>
        <w:t xml:space="preserve">     </w:t>
      </w:r>
    </w:p>
    <w:p w:rsidR="00FD753C" w:rsidRDefault="00FD753C" w:rsidP="00FD753C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sdt>
      <w:sdtPr>
        <w:rPr>
          <w:noProof/>
          <w:sz w:val="24"/>
          <w:szCs w:val="24"/>
          <w:lang w:eastAsia="es-AR"/>
        </w:rPr>
        <w:id w:val="108218367"/>
        <w:placeholder>
          <w:docPart w:val="D93404FD119E463DB1C5DABBD20AF120"/>
        </w:placeholder>
      </w:sdtPr>
      <w:sdtEndPr/>
      <w:sdtContent>
        <w:sdt>
          <w:sdtPr>
            <w:rPr>
              <w:noProof/>
              <w:sz w:val="24"/>
              <w:szCs w:val="24"/>
              <w:lang w:eastAsia="es-AR"/>
            </w:rPr>
            <w:alias w:val="Desarrolle la fundamentación en un máx de 350 palabras"/>
            <w:tag w:val="Desarrolle la fundamentación en un máx de 350 palabras"/>
            <w:id w:val="108218368"/>
            <w:placeholder>
              <w:docPart w:val="D93404FD119E463DB1C5DABBD20AF120"/>
            </w:placeholder>
            <w:temporary/>
            <w:showingPlcHdr/>
          </w:sdtPr>
          <w:sdtEndPr/>
          <w:sdtContent>
            <w:p w:rsidR="00FD753C" w:rsidRPr="005457C3" w:rsidRDefault="00FD753C" w:rsidP="00FD753C">
              <w:pPr>
                <w:spacing w:line="240" w:lineRule="auto"/>
                <w:jc w:val="both"/>
                <w:rPr>
                  <w:noProof/>
                  <w:sz w:val="24"/>
                  <w:szCs w:val="24"/>
                  <w:lang w:eastAsia="es-AR"/>
                </w:rPr>
              </w:pPr>
              <w:r w:rsidRPr="00DB1B1F">
                <w:rPr>
                  <w:rStyle w:val="Textodelmarcadordeposicin"/>
                </w:rPr>
                <w:t>Haga clic aquí para escribir texto.</w:t>
              </w:r>
            </w:p>
          </w:sdtContent>
        </w:sdt>
      </w:sdtContent>
    </w:sdt>
    <w:p w:rsidR="00FD753C" w:rsidRDefault="00FD753C" w:rsidP="00FD753C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p w:rsidR="00FD753C" w:rsidRPr="002364F8" w:rsidRDefault="00FD753C" w:rsidP="00FD75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364F8">
        <w:rPr>
          <w:rFonts w:cstheme="minorHAnsi"/>
          <w:sz w:val="24"/>
          <w:szCs w:val="24"/>
        </w:rPr>
        <w:t>Proporcionar a los estudiantes herramientas conceptuales y analíticas para reflexionar sobre los t</w:t>
      </w:r>
      <w:r w:rsidRPr="002364F8">
        <w:rPr>
          <w:sz w:val="24"/>
          <w:szCs w:val="24"/>
        </w:rPr>
        <w:t>emas centrales del Derecho del Trabajo y la Seguridad Social.</w:t>
      </w:r>
    </w:p>
    <w:p w:rsidR="00FD753C" w:rsidRPr="002364F8" w:rsidRDefault="00FD753C" w:rsidP="00FD75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364F8">
        <w:rPr>
          <w:sz w:val="24"/>
          <w:szCs w:val="24"/>
        </w:rPr>
        <w:t xml:space="preserve">Describir los </w:t>
      </w:r>
      <w:r w:rsidRPr="002364F8">
        <w:rPr>
          <w:sz w:val="24"/>
          <w:szCs w:val="24"/>
          <w:lang w:val="es-ES"/>
        </w:rPr>
        <w:t xml:space="preserve">principios fundacionales, la </w:t>
      </w:r>
      <w:r w:rsidRPr="002364F8">
        <w:rPr>
          <w:sz w:val="24"/>
          <w:szCs w:val="24"/>
        </w:rPr>
        <w:t>perspectiva do</w:t>
      </w:r>
      <w:r w:rsidR="00411B1D">
        <w:rPr>
          <w:sz w:val="24"/>
          <w:szCs w:val="24"/>
        </w:rPr>
        <w:t>ctrinaria y jurisprudencial, así como los temas</w:t>
      </w:r>
      <w:r w:rsidRPr="002364F8">
        <w:rPr>
          <w:sz w:val="24"/>
          <w:szCs w:val="24"/>
        </w:rPr>
        <w:t xml:space="preserve"> recientes </w:t>
      </w:r>
      <w:r w:rsidR="00411B1D">
        <w:rPr>
          <w:sz w:val="24"/>
          <w:szCs w:val="24"/>
        </w:rPr>
        <w:t>que involucran al</w:t>
      </w:r>
      <w:r w:rsidRPr="002364F8">
        <w:rPr>
          <w:sz w:val="24"/>
          <w:szCs w:val="24"/>
        </w:rPr>
        <w:t xml:space="preserve"> Derecho del Trabajo</w:t>
      </w:r>
      <w:r w:rsidR="00411B1D">
        <w:rPr>
          <w:sz w:val="24"/>
          <w:szCs w:val="24"/>
        </w:rPr>
        <w:t>.</w:t>
      </w:r>
      <w:r w:rsidRPr="002364F8">
        <w:rPr>
          <w:sz w:val="24"/>
          <w:szCs w:val="24"/>
        </w:rPr>
        <w:t xml:space="preserve"> </w:t>
      </w:r>
      <w:r w:rsidR="00411B1D">
        <w:rPr>
          <w:sz w:val="24"/>
          <w:szCs w:val="24"/>
        </w:rPr>
        <w:t>Pensar el futuro del Derecho del Trabajo.</w:t>
      </w:r>
      <w:r w:rsidRPr="002364F8">
        <w:rPr>
          <w:sz w:val="24"/>
          <w:szCs w:val="24"/>
        </w:rPr>
        <w:t xml:space="preserve"> </w:t>
      </w:r>
    </w:p>
    <w:p w:rsidR="00FD753C" w:rsidRPr="002364F8" w:rsidRDefault="00FD753C" w:rsidP="00FD753C">
      <w:pPr>
        <w:ind w:firstLine="708"/>
        <w:jc w:val="both"/>
        <w:rPr>
          <w:sz w:val="24"/>
          <w:szCs w:val="24"/>
        </w:rPr>
      </w:pPr>
    </w:p>
    <w:p w:rsidR="00FD753C" w:rsidRPr="00B419CE" w:rsidRDefault="00FD753C" w:rsidP="00FD753C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p w:rsidR="00411B1D" w:rsidRPr="00411B1D" w:rsidRDefault="00411B1D" w:rsidP="00411B1D">
      <w:pPr>
        <w:jc w:val="both"/>
        <w:rPr>
          <w:b/>
          <w:sz w:val="24"/>
          <w:szCs w:val="24"/>
        </w:rPr>
      </w:pPr>
      <w:r w:rsidRPr="00411B1D">
        <w:rPr>
          <w:b/>
          <w:sz w:val="24"/>
          <w:szCs w:val="24"/>
        </w:rPr>
        <w:t>UNIDAD 1</w:t>
      </w:r>
      <w:r w:rsidR="00C21FF1">
        <w:rPr>
          <w:b/>
          <w:sz w:val="24"/>
          <w:szCs w:val="24"/>
        </w:rPr>
        <w:t xml:space="preserve"> – Evolución, teoría y fuentes del Derecho del Trabajo</w:t>
      </w:r>
    </w:p>
    <w:p w:rsidR="00411B1D" w:rsidRPr="00411B1D" w:rsidRDefault="00411B1D" w:rsidP="00411B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11B1D">
        <w:rPr>
          <w:sz w:val="24"/>
          <w:szCs w:val="24"/>
        </w:rPr>
        <w:t xml:space="preserve">La apropiación del trabajo humano como objeto de regulación. Evolución de las formas sociales de prestación del trabajo. El conflicto central en las sociedades capitalistas: relación capital-trabajo. Concepto de Derecho del Trabajo. Definiciones, función, contenido, alcances, principios. </w:t>
      </w:r>
    </w:p>
    <w:p w:rsidR="00411B1D" w:rsidRPr="00411B1D" w:rsidRDefault="00411B1D" w:rsidP="00411B1D">
      <w:pPr>
        <w:pStyle w:val="Prrafodelista"/>
        <w:jc w:val="both"/>
        <w:rPr>
          <w:sz w:val="24"/>
          <w:szCs w:val="24"/>
        </w:rPr>
      </w:pPr>
    </w:p>
    <w:p w:rsidR="0090797A" w:rsidRPr="0090797A" w:rsidRDefault="00411B1D" w:rsidP="0090797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0797A">
        <w:rPr>
          <w:sz w:val="24"/>
          <w:szCs w:val="24"/>
        </w:rPr>
        <w:t>El taylorismo-</w:t>
      </w:r>
      <w:proofErr w:type="spellStart"/>
      <w:r w:rsidRPr="0090797A">
        <w:rPr>
          <w:sz w:val="24"/>
          <w:szCs w:val="24"/>
        </w:rPr>
        <w:t>fordismo</w:t>
      </w:r>
      <w:proofErr w:type="spellEnd"/>
      <w:r w:rsidRPr="0090797A">
        <w:rPr>
          <w:sz w:val="24"/>
          <w:szCs w:val="24"/>
        </w:rPr>
        <w:t>. El post-</w:t>
      </w:r>
      <w:proofErr w:type="spellStart"/>
      <w:r w:rsidRPr="0090797A">
        <w:rPr>
          <w:sz w:val="24"/>
          <w:szCs w:val="24"/>
        </w:rPr>
        <w:t>fordismo</w:t>
      </w:r>
      <w:proofErr w:type="spellEnd"/>
      <w:r w:rsidRPr="0090797A">
        <w:rPr>
          <w:sz w:val="24"/>
          <w:szCs w:val="24"/>
        </w:rPr>
        <w:t xml:space="preserve">. Deslocalización, </w:t>
      </w:r>
      <w:proofErr w:type="spellStart"/>
      <w:r w:rsidRPr="0090797A">
        <w:rPr>
          <w:sz w:val="24"/>
          <w:szCs w:val="24"/>
        </w:rPr>
        <w:t>toyotismo</w:t>
      </w:r>
      <w:proofErr w:type="spellEnd"/>
      <w:r w:rsidRPr="0090797A">
        <w:rPr>
          <w:sz w:val="24"/>
          <w:szCs w:val="24"/>
        </w:rPr>
        <w:t xml:space="preserve">, externalización productiva. </w:t>
      </w:r>
    </w:p>
    <w:p w:rsidR="0090797A" w:rsidRPr="0090797A" w:rsidRDefault="0090797A" w:rsidP="0090797A">
      <w:pPr>
        <w:pStyle w:val="Prrafodelista"/>
        <w:jc w:val="both"/>
        <w:rPr>
          <w:sz w:val="24"/>
          <w:szCs w:val="24"/>
        </w:rPr>
      </w:pPr>
    </w:p>
    <w:p w:rsidR="0090797A" w:rsidRPr="0090797A" w:rsidRDefault="00411B1D" w:rsidP="0090797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0797A">
        <w:rPr>
          <w:sz w:val="24"/>
          <w:szCs w:val="24"/>
        </w:rPr>
        <w:t>La configuración constitucional del Derecho del Trabajo en el Estado Social de Derecho. Diferencias con el estado liberal. Análisis descriptivo de la materialización del Estado Social de Derecho: el Estado de Bienestar. Puesta en crisis del Estado de Bienestar.</w:t>
      </w:r>
      <w:r w:rsidR="0090797A" w:rsidRPr="0090797A">
        <w:rPr>
          <w:sz w:val="24"/>
          <w:szCs w:val="24"/>
        </w:rPr>
        <w:t xml:space="preserve"> Plataformas digitales y los intentos de negación del Derecho del Trabajo.</w:t>
      </w:r>
    </w:p>
    <w:p w:rsidR="00411B1D" w:rsidRPr="0090797A" w:rsidRDefault="00411B1D" w:rsidP="0090797A">
      <w:pPr>
        <w:ind w:left="360"/>
        <w:jc w:val="both"/>
        <w:rPr>
          <w:sz w:val="24"/>
          <w:szCs w:val="24"/>
        </w:rPr>
      </w:pPr>
    </w:p>
    <w:p w:rsidR="00411B1D" w:rsidRPr="00411B1D" w:rsidRDefault="00411B1D" w:rsidP="00411B1D">
      <w:pPr>
        <w:pStyle w:val="Prrafodelista"/>
        <w:rPr>
          <w:sz w:val="24"/>
          <w:szCs w:val="24"/>
        </w:rPr>
      </w:pPr>
    </w:p>
    <w:p w:rsidR="00411B1D" w:rsidRPr="00411B1D" w:rsidRDefault="00411B1D" w:rsidP="00411B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11B1D">
        <w:rPr>
          <w:sz w:val="24"/>
          <w:szCs w:val="24"/>
        </w:rPr>
        <w:t xml:space="preserve">Teoría de las fuentes del Derecho del Trabajo. Estructura y relaciones. Caracterización y situación normativa de la ley, el convenio colectivo y el contrato individual. Orden público laboral. Orden de prelación. Estructura constitucional argentina. Conflictos normativos y su resolución. Convenios y Resoluciones de la Organización Internacional del Trabajo y derecho interno. </w:t>
      </w:r>
    </w:p>
    <w:p w:rsidR="00411B1D" w:rsidRPr="00411B1D" w:rsidRDefault="00411B1D" w:rsidP="00411B1D">
      <w:pPr>
        <w:pStyle w:val="Prrafodelista"/>
        <w:rPr>
          <w:sz w:val="24"/>
          <w:szCs w:val="24"/>
        </w:rPr>
      </w:pPr>
    </w:p>
    <w:p w:rsidR="00411B1D" w:rsidRPr="00411B1D" w:rsidRDefault="00411B1D" w:rsidP="00411B1D">
      <w:pPr>
        <w:jc w:val="both"/>
        <w:rPr>
          <w:b/>
          <w:sz w:val="24"/>
          <w:szCs w:val="24"/>
        </w:rPr>
      </w:pPr>
      <w:r w:rsidRPr="00411B1D">
        <w:rPr>
          <w:b/>
          <w:sz w:val="24"/>
          <w:szCs w:val="24"/>
        </w:rPr>
        <w:t>UNIDAD 2</w:t>
      </w:r>
      <w:r w:rsidR="00C21FF1">
        <w:rPr>
          <w:b/>
          <w:sz w:val="24"/>
          <w:szCs w:val="24"/>
        </w:rPr>
        <w:t xml:space="preserve"> – Libertad Sindical, negociación colectiva y huelga</w:t>
      </w:r>
    </w:p>
    <w:p w:rsidR="00411B1D" w:rsidRPr="00411B1D" w:rsidRDefault="00411B1D" w:rsidP="00411B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11B1D">
        <w:rPr>
          <w:sz w:val="24"/>
          <w:szCs w:val="24"/>
        </w:rPr>
        <w:t xml:space="preserve">Derecho sindical, autonomía colectiva y democracia. Función constitucional del sindicalismo. Principios de la libertad sindical. OIT. Titulares, contenido individual y colectivo. Teorías </w:t>
      </w:r>
      <w:r w:rsidR="0070437E">
        <w:rPr>
          <w:sz w:val="24"/>
          <w:szCs w:val="24"/>
        </w:rPr>
        <w:t>de la mayor representatividad. Encuadramiento sindical y convencional. S</w:t>
      </w:r>
      <w:r w:rsidRPr="00411B1D">
        <w:rPr>
          <w:sz w:val="24"/>
          <w:szCs w:val="24"/>
        </w:rPr>
        <w:t>istema sindical argentino: objeciones de OIT y constitucionales. Tutela de la libertad sindical. Formas organizativas. Democracia interna. Representación sindical en la empresa. Tutelas.</w:t>
      </w:r>
      <w:r w:rsidR="00857B7C">
        <w:rPr>
          <w:sz w:val="24"/>
          <w:szCs w:val="24"/>
        </w:rPr>
        <w:t xml:space="preserve"> Organización sindical de trabajadores de plataformas digitales.</w:t>
      </w:r>
    </w:p>
    <w:p w:rsidR="00411B1D" w:rsidRPr="00411B1D" w:rsidRDefault="00411B1D" w:rsidP="00411B1D">
      <w:pPr>
        <w:pStyle w:val="Prrafodelista"/>
        <w:jc w:val="both"/>
        <w:rPr>
          <w:sz w:val="24"/>
          <w:szCs w:val="24"/>
        </w:rPr>
      </w:pPr>
    </w:p>
    <w:p w:rsidR="00411B1D" w:rsidRPr="00411B1D" w:rsidRDefault="00411B1D" w:rsidP="00411B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11B1D">
        <w:rPr>
          <w:sz w:val="24"/>
          <w:szCs w:val="24"/>
        </w:rPr>
        <w:t>La negociación colectiva. Convenio colectivo de trabajo: sujetos, estructura de la negociación y relaciones entre normas, regulación legal. Unidades de negociación y ámbito de aplicación. Vigencia de las normas colectivas. Procedimiento de negociación. Intervencionismo estatal y autonomía colectiva.</w:t>
      </w:r>
    </w:p>
    <w:p w:rsidR="00411B1D" w:rsidRPr="00411B1D" w:rsidRDefault="00411B1D" w:rsidP="00411B1D">
      <w:pPr>
        <w:pStyle w:val="Prrafodelista"/>
        <w:rPr>
          <w:sz w:val="24"/>
          <w:szCs w:val="24"/>
        </w:rPr>
      </w:pPr>
    </w:p>
    <w:p w:rsidR="00411B1D" w:rsidRPr="00411B1D" w:rsidRDefault="00411B1D" w:rsidP="00411B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411B1D">
        <w:rPr>
          <w:sz w:val="24"/>
          <w:szCs w:val="24"/>
        </w:rPr>
        <w:lastRenderedPageBreak/>
        <w:t xml:space="preserve">El conflicto y su </w:t>
      </w:r>
      <w:proofErr w:type="spellStart"/>
      <w:r w:rsidRPr="00411B1D">
        <w:rPr>
          <w:sz w:val="24"/>
          <w:szCs w:val="24"/>
        </w:rPr>
        <w:t>juridificación</w:t>
      </w:r>
      <w:proofErr w:type="spellEnd"/>
      <w:r w:rsidRPr="00411B1D">
        <w:rPr>
          <w:sz w:val="24"/>
          <w:szCs w:val="24"/>
        </w:rPr>
        <w:t>. Medios de expresión del conflicto. Regulación constitucional y de OIT de la huelga y otras medidas de acción sindical. Régimen legal de regulación de la huelga en los servicios esenciales. Procedimiento de regulación del conflicto colectivo.</w:t>
      </w:r>
    </w:p>
    <w:p w:rsidR="00411B1D" w:rsidRPr="00411B1D" w:rsidRDefault="00411B1D" w:rsidP="00411B1D">
      <w:pPr>
        <w:pStyle w:val="Prrafodelista"/>
        <w:rPr>
          <w:sz w:val="24"/>
          <w:szCs w:val="24"/>
        </w:rPr>
      </w:pPr>
    </w:p>
    <w:p w:rsidR="00411B1D" w:rsidRDefault="00411B1D" w:rsidP="00411B1D">
      <w:pPr>
        <w:jc w:val="both"/>
        <w:rPr>
          <w:b/>
          <w:sz w:val="24"/>
          <w:szCs w:val="24"/>
        </w:rPr>
      </w:pPr>
      <w:r w:rsidRPr="00C21FF1">
        <w:rPr>
          <w:b/>
          <w:sz w:val="24"/>
          <w:szCs w:val="24"/>
        </w:rPr>
        <w:t>UNIDAD 3</w:t>
      </w:r>
      <w:r w:rsidR="00C21FF1">
        <w:rPr>
          <w:b/>
          <w:sz w:val="24"/>
          <w:szCs w:val="24"/>
        </w:rPr>
        <w:t xml:space="preserve"> – El contrato de trabajo</w:t>
      </w:r>
    </w:p>
    <w:p w:rsidR="00C21FF1" w:rsidRDefault="00EB249C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EB249C">
        <w:rPr>
          <w:sz w:val="24"/>
          <w:szCs w:val="24"/>
        </w:rPr>
        <w:t>Contrato de Trabajo. Concepto. La relación de trabajo; distinción conceptual. Elementos del contrato de trabajo; enunciación. Los sujetos del contrato de trabajo. Forma del contrato de trabajo. El objeto del contrato de trabajo. El concepto de dependencia laboral; sus aspectos y sus facetas jurídica, económica y técnica. Su deslinde con las situaciones de trabajo autónomo.</w:t>
      </w:r>
    </w:p>
    <w:p w:rsidR="00EB249C" w:rsidRDefault="00EB249C" w:rsidP="00EB249C">
      <w:pPr>
        <w:pStyle w:val="Prrafodelista"/>
        <w:jc w:val="both"/>
        <w:rPr>
          <w:sz w:val="24"/>
          <w:szCs w:val="24"/>
        </w:rPr>
      </w:pPr>
    </w:p>
    <w:p w:rsidR="00EB249C" w:rsidRDefault="00EB249C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EB249C">
        <w:rPr>
          <w:sz w:val="24"/>
          <w:szCs w:val="24"/>
        </w:rPr>
        <w:t>El empleador y la empresa. Intermediación e interposición en el contrato de trabajo. Empresa, empresario, establecimiento, empleador, precisiones y deslindes conceptuales. Modificación de la estructura de la empresa, transferencia de la empresa o del establecimiento, transferencia del fondo de comercio; las responsabilidades empresarias y la situación de los trabajadores. La cesión de personal. Interposición, intermediación, representación y segmentación</w:t>
      </w:r>
      <w:r w:rsidR="00610B43">
        <w:rPr>
          <w:sz w:val="24"/>
          <w:szCs w:val="24"/>
        </w:rPr>
        <w:t xml:space="preserve"> del empleador. </w:t>
      </w:r>
      <w:r w:rsidRPr="00EB249C">
        <w:rPr>
          <w:sz w:val="24"/>
          <w:szCs w:val="24"/>
        </w:rPr>
        <w:t>Tendencias</w:t>
      </w:r>
      <w:r w:rsidR="00610B43">
        <w:rPr>
          <w:sz w:val="24"/>
          <w:szCs w:val="24"/>
        </w:rPr>
        <w:t xml:space="preserve"> </w:t>
      </w:r>
      <w:r w:rsidRPr="00EB249C">
        <w:rPr>
          <w:sz w:val="24"/>
          <w:szCs w:val="24"/>
        </w:rPr>
        <w:t>a la “externalización”,</w:t>
      </w:r>
      <w:r w:rsidR="00610B43">
        <w:rPr>
          <w:sz w:val="24"/>
          <w:szCs w:val="24"/>
        </w:rPr>
        <w:t xml:space="preserve"> </w:t>
      </w:r>
      <w:r w:rsidRPr="00EB249C">
        <w:rPr>
          <w:sz w:val="24"/>
          <w:szCs w:val="24"/>
        </w:rPr>
        <w:t xml:space="preserve">descentralización productiva o </w:t>
      </w:r>
      <w:proofErr w:type="spellStart"/>
      <w:r w:rsidRPr="00EB249C">
        <w:rPr>
          <w:sz w:val="24"/>
          <w:szCs w:val="24"/>
        </w:rPr>
        <w:t>desresponsabilización</w:t>
      </w:r>
      <w:proofErr w:type="spellEnd"/>
      <w:r w:rsidRPr="00EB249C">
        <w:rPr>
          <w:sz w:val="24"/>
          <w:szCs w:val="24"/>
        </w:rPr>
        <w:t xml:space="preserve"> empresarial, tercerización</w:t>
      </w:r>
      <w:r>
        <w:rPr>
          <w:sz w:val="24"/>
          <w:szCs w:val="24"/>
        </w:rPr>
        <w:t>.</w:t>
      </w:r>
    </w:p>
    <w:p w:rsidR="00EB249C" w:rsidRPr="00EB249C" w:rsidRDefault="00EB249C" w:rsidP="00EB249C">
      <w:pPr>
        <w:pStyle w:val="Prrafodelista"/>
        <w:rPr>
          <w:sz w:val="24"/>
          <w:szCs w:val="24"/>
        </w:rPr>
      </w:pPr>
    </w:p>
    <w:p w:rsidR="00EB249C" w:rsidRDefault="00EB249C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EB249C">
        <w:rPr>
          <w:sz w:val="24"/>
          <w:szCs w:val="24"/>
        </w:rPr>
        <w:t xml:space="preserve">La duración del contrato de trabajo y el régimen de estabilidad en el empleo. El contrato por tiempo indeterminado. El período de prueba. Estabilidad e    indeterminación del plazo. Contrato a plazo fijo, eventual, por temporada. </w:t>
      </w:r>
      <w:r w:rsidR="00214BF8">
        <w:rPr>
          <w:sz w:val="24"/>
          <w:szCs w:val="24"/>
        </w:rPr>
        <w:t>Contrato de Teletrabajo.</w:t>
      </w:r>
    </w:p>
    <w:p w:rsidR="00EB249C" w:rsidRPr="00EB249C" w:rsidRDefault="00EB249C" w:rsidP="00EB249C">
      <w:pPr>
        <w:pStyle w:val="Prrafodelista"/>
        <w:rPr>
          <w:sz w:val="24"/>
          <w:szCs w:val="24"/>
        </w:rPr>
      </w:pPr>
    </w:p>
    <w:p w:rsidR="00EB249C" w:rsidRDefault="00EB249C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214BF8">
        <w:rPr>
          <w:sz w:val="24"/>
          <w:szCs w:val="24"/>
        </w:rPr>
        <w:t xml:space="preserve">Deberes comunes a ambas partes. Buena fe; colaboración y solidaridad. Regímenes disciplinarios. Deberes de prestación y de conducta: límites de su exigibilidad. Obligaciones del empleador. Derechos, poderes y facultades del empleador. Poder de dirección. Poder reglamentario. Las facultades disciplinarias. Facultades unilaterales para alterar ciertas condiciones del contrato de trabajo; </w:t>
      </w:r>
      <w:proofErr w:type="spellStart"/>
      <w:r w:rsidRPr="00214BF8">
        <w:rPr>
          <w:sz w:val="24"/>
          <w:szCs w:val="24"/>
        </w:rPr>
        <w:t>Ius</w:t>
      </w:r>
      <w:proofErr w:type="spellEnd"/>
      <w:r w:rsidRPr="00214BF8">
        <w:rPr>
          <w:sz w:val="24"/>
          <w:szCs w:val="24"/>
        </w:rPr>
        <w:t xml:space="preserve"> </w:t>
      </w:r>
      <w:proofErr w:type="spellStart"/>
      <w:r w:rsidRPr="00214BF8">
        <w:rPr>
          <w:sz w:val="24"/>
          <w:szCs w:val="24"/>
        </w:rPr>
        <w:t>Variandi</w:t>
      </w:r>
      <w:proofErr w:type="spellEnd"/>
      <w:r w:rsidRPr="00214BF8">
        <w:rPr>
          <w:sz w:val="24"/>
          <w:szCs w:val="24"/>
        </w:rPr>
        <w:t xml:space="preserve">: fundamento y aplicación legal. Derechos y obligaciones del trabajador. </w:t>
      </w:r>
    </w:p>
    <w:p w:rsidR="00214BF8" w:rsidRPr="00214BF8" w:rsidRDefault="00214BF8" w:rsidP="00214BF8">
      <w:pPr>
        <w:pStyle w:val="Prrafodelista"/>
        <w:rPr>
          <w:sz w:val="24"/>
          <w:szCs w:val="24"/>
        </w:rPr>
      </w:pPr>
    </w:p>
    <w:p w:rsidR="00214BF8" w:rsidRDefault="00214BF8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214BF8">
        <w:rPr>
          <w:sz w:val="24"/>
          <w:szCs w:val="24"/>
        </w:rPr>
        <w:t xml:space="preserve">Concepto y caracterización jurídica del salario. Las fuentes de fijación de los salarios. La ley y otras vías de intervención del Estado. Las formas de determinar la remuneración; por tiempo y por rendimiento. El salario a destajo. Salario básico, adicionales y premios remuneratorios. Comisiones. Gratificaciones. Participación en las ganancias. La tutela del salario. </w:t>
      </w:r>
    </w:p>
    <w:p w:rsidR="00214BF8" w:rsidRPr="00214BF8" w:rsidRDefault="00214BF8" w:rsidP="00214BF8">
      <w:pPr>
        <w:pStyle w:val="Prrafodelista"/>
        <w:rPr>
          <w:sz w:val="24"/>
          <w:szCs w:val="24"/>
        </w:rPr>
      </w:pPr>
    </w:p>
    <w:p w:rsidR="00214BF8" w:rsidRDefault="00214BF8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214BF8">
        <w:rPr>
          <w:sz w:val="24"/>
          <w:szCs w:val="24"/>
        </w:rPr>
        <w:lastRenderedPageBreak/>
        <w:t xml:space="preserve">La jornada de trabajo. Las normas internacionales sobre jornada de trabajo. Normas aplicables en materia de jornada de trabajo; su ámbito de aplicación. Concepto y cómputo de la jornada. Las facultades del empleador en materia de jornada de trabajo; diagramación y distribución de los horarios. Vacaciones. Concepto, fundamentos, antecedentes. </w:t>
      </w:r>
    </w:p>
    <w:p w:rsidR="00214BF8" w:rsidRPr="00214BF8" w:rsidRDefault="00214BF8" w:rsidP="00214BF8">
      <w:pPr>
        <w:pStyle w:val="Prrafodelista"/>
        <w:rPr>
          <w:sz w:val="24"/>
          <w:szCs w:val="24"/>
        </w:rPr>
      </w:pPr>
    </w:p>
    <w:p w:rsidR="00214BF8" w:rsidRDefault="00214BF8" w:rsidP="00214BF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2391F">
        <w:rPr>
          <w:sz w:val="24"/>
          <w:szCs w:val="24"/>
        </w:rPr>
        <w:t>Suspensión de ciertos efectos del contrato de trabajo. Concepto. Fundamentos. Los diversos supuestos de suspensión; enunciación. Criterios clasificatorios. Las suspensiones dispuestas por el empleador. Suspensiones por causas económicas. Falta o disminución del trabajo. Concepto. Fuerza mayor. Requisitos. Intervención de la autoridad administrativa; el procedimiento de crisis. Suspensión por huelga. Suspensión por excedencia. El ejercicio de la “</w:t>
      </w:r>
      <w:proofErr w:type="spellStart"/>
      <w:r w:rsidRPr="00A2391F">
        <w:rPr>
          <w:sz w:val="24"/>
          <w:szCs w:val="24"/>
        </w:rPr>
        <w:t>exceptio</w:t>
      </w:r>
      <w:proofErr w:type="spellEnd"/>
      <w:r w:rsidRPr="00A2391F">
        <w:rPr>
          <w:sz w:val="24"/>
          <w:szCs w:val="24"/>
        </w:rPr>
        <w:t xml:space="preserve"> non </w:t>
      </w:r>
      <w:proofErr w:type="spellStart"/>
      <w:r w:rsidRPr="00A2391F">
        <w:rPr>
          <w:sz w:val="24"/>
          <w:szCs w:val="24"/>
        </w:rPr>
        <w:t>adimpleti</w:t>
      </w:r>
      <w:proofErr w:type="spellEnd"/>
      <w:r w:rsidRPr="00A2391F">
        <w:rPr>
          <w:sz w:val="24"/>
          <w:szCs w:val="24"/>
        </w:rPr>
        <w:t xml:space="preserve"> </w:t>
      </w:r>
      <w:proofErr w:type="spellStart"/>
      <w:r w:rsidRPr="00A2391F">
        <w:rPr>
          <w:sz w:val="24"/>
          <w:szCs w:val="24"/>
        </w:rPr>
        <w:t>contractus</w:t>
      </w:r>
      <w:proofErr w:type="spellEnd"/>
      <w:r w:rsidRPr="00A2391F">
        <w:rPr>
          <w:sz w:val="24"/>
          <w:szCs w:val="24"/>
        </w:rPr>
        <w:t>”. La enfermedad y el accidente inculpable. Concepto, caracterización y efectos. La suspensión de ciertos efectos del contrato de trabajo por accidente del trabajo. Las suspensiones por mutuo acuerdo.</w:t>
      </w:r>
      <w:r w:rsidR="00A2391F" w:rsidRPr="00A2391F">
        <w:rPr>
          <w:sz w:val="24"/>
          <w:szCs w:val="24"/>
        </w:rPr>
        <w:t xml:space="preserve"> </w:t>
      </w:r>
      <w:r w:rsidR="00A2391F">
        <w:rPr>
          <w:sz w:val="24"/>
          <w:szCs w:val="24"/>
        </w:rPr>
        <w:t>El COVID 19 y la relación de trabajo.</w:t>
      </w:r>
    </w:p>
    <w:p w:rsidR="00A2391F" w:rsidRDefault="00A2391F" w:rsidP="00A2391F">
      <w:pPr>
        <w:pStyle w:val="Prrafodelista"/>
        <w:jc w:val="both"/>
        <w:rPr>
          <w:sz w:val="24"/>
          <w:szCs w:val="24"/>
        </w:rPr>
      </w:pPr>
    </w:p>
    <w:p w:rsidR="00EB249C" w:rsidRDefault="00214BF8" w:rsidP="00EB249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57B7C">
        <w:rPr>
          <w:sz w:val="24"/>
          <w:szCs w:val="24"/>
        </w:rPr>
        <w:t xml:space="preserve">La extinción del contrato de trabajo. Concepto. Clasificación de los modos de extinción. Obligaciones de las partes al tiempo de la extinción. La renuncia del trabajador. El despido </w:t>
      </w:r>
      <w:proofErr w:type="spellStart"/>
      <w:r w:rsidRPr="00857B7C">
        <w:rPr>
          <w:sz w:val="24"/>
          <w:szCs w:val="24"/>
        </w:rPr>
        <w:t>incausado</w:t>
      </w:r>
      <w:proofErr w:type="spellEnd"/>
      <w:r w:rsidRPr="00857B7C">
        <w:rPr>
          <w:sz w:val="24"/>
          <w:szCs w:val="24"/>
        </w:rPr>
        <w:t>. El preaviso del empleador y su indemnización sustitutiva. La prohibición de los despidos sin causa</w:t>
      </w:r>
      <w:r w:rsidR="00857B7C" w:rsidRPr="00857B7C">
        <w:rPr>
          <w:sz w:val="24"/>
          <w:szCs w:val="24"/>
        </w:rPr>
        <w:t xml:space="preserve"> o por falta o disminución de trabajo (DNU 39/2021). </w:t>
      </w:r>
      <w:r w:rsidRPr="00857B7C">
        <w:rPr>
          <w:sz w:val="24"/>
          <w:szCs w:val="24"/>
        </w:rPr>
        <w:t>El despido con justa causa. El despido directo y el despido indirecto. Configuración de la injuria. El abandono de trabajo; configuración y efectos.</w:t>
      </w:r>
      <w:r w:rsidR="00857B7C" w:rsidRPr="00857B7C">
        <w:rPr>
          <w:sz w:val="24"/>
          <w:szCs w:val="24"/>
        </w:rPr>
        <w:t xml:space="preserve"> </w:t>
      </w:r>
      <w:r w:rsidRPr="00857B7C">
        <w:rPr>
          <w:sz w:val="24"/>
          <w:szCs w:val="24"/>
        </w:rPr>
        <w:t>El despido por causas económicas. Falta o disminución del trabajo y fuerza mayor. Extinción por muerte: del trabajador</w:t>
      </w:r>
      <w:r w:rsidR="00857B7C" w:rsidRPr="00857B7C">
        <w:rPr>
          <w:sz w:val="24"/>
          <w:szCs w:val="24"/>
        </w:rPr>
        <w:t xml:space="preserve"> o</w:t>
      </w:r>
      <w:r w:rsidRPr="00857B7C">
        <w:rPr>
          <w:sz w:val="24"/>
          <w:szCs w:val="24"/>
        </w:rPr>
        <w:t xml:space="preserve"> del empleador. Cumplimiento del plazo o del objeto del contrato</w:t>
      </w:r>
      <w:r w:rsidR="00857B7C">
        <w:rPr>
          <w:sz w:val="24"/>
          <w:szCs w:val="24"/>
        </w:rPr>
        <w:t>.</w:t>
      </w:r>
    </w:p>
    <w:p w:rsidR="00857B7C" w:rsidRPr="00857B7C" w:rsidRDefault="00857B7C" w:rsidP="00857B7C">
      <w:pPr>
        <w:pStyle w:val="Prrafodelista"/>
        <w:rPr>
          <w:sz w:val="24"/>
          <w:szCs w:val="24"/>
        </w:rPr>
      </w:pPr>
    </w:p>
    <w:p w:rsidR="00857B7C" w:rsidRDefault="00857B7C" w:rsidP="00857B7C">
      <w:pPr>
        <w:jc w:val="both"/>
        <w:rPr>
          <w:sz w:val="24"/>
          <w:szCs w:val="24"/>
        </w:rPr>
      </w:pPr>
      <w:r w:rsidRPr="00857B7C">
        <w:rPr>
          <w:b/>
          <w:sz w:val="24"/>
          <w:szCs w:val="24"/>
        </w:rPr>
        <w:t>UNIDAD 4 – Seguridad Social</w:t>
      </w:r>
    </w:p>
    <w:p w:rsidR="00857B7C" w:rsidRDefault="00857B7C" w:rsidP="00857B7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7B7C">
        <w:rPr>
          <w:sz w:val="24"/>
          <w:szCs w:val="24"/>
        </w:rPr>
        <w:t>Trabajadores sin trabajo: la Seguridad Social como derecho universal característico del Estado Social de Derecho. El concepto de la Seguridad Social en el Estado Social de Derecho. Principios constitucionales y principios de la Seguridad Social. Evolución histórica.</w:t>
      </w:r>
    </w:p>
    <w:p w:rsidR="00857B7C" w:rsidRPr="00857B7C" w:rsidRDefault="00857B7C" w:rsidP="00857B7C">
      <w:pPr>
        <w:pStyle w:val="Prrafodelista"/>
        <w:jc w:val="both"/>
        <w:rPr>
          <w:sz w:val="24"/>
          <w:szCs w:val="24"/>
        </w:rPr>
      </w:pPr>
    </w:p>
    <w:p w:rsidR="004A43D4" w:rsidRDefault="00857B7C" w:rsidP="00857B7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4A43D4">
        <w:rPr>
          <w:sz w:val="24"/>
          <w:szCs w:val="24"/>
        </w:rPr>
        <w:t xml:space="preserve">Sistema Integrado de Jubilaciones y Pensiones. </w:t>
      </w:r>
      <w:proofErr w:type="spellStart"/>
      <w:r w:rsidRPr="004A43D4">
        <w:rPr>
          <w:sz w:val="24"/>
          <w:szCs w:val="24"/>
        </w:rPr>
        <w:t>Ambito</w:t>
      </w:r>
      <w:proofErr w:type="spellEnd"/>
      <w:r w:rsidRPr="004A43D4">
        <w:rPr>
          <w:sz w:val="24"/>
          <w:szCs w:val="24"/>
        </w:rPr>
        <w:t xml:space="preserve"> de aplicación. Sujetos tutelados. Verificación constitucional del sistema. Regímenes de reparto y de capitalización</w:t>
      </w:r>
      <w:r w:rsidR="004A43D4" w:rsidRPr="004A43D4">
        <w:rPr>
          <w:sz w:val="24"/>
          <w:szCs w:val="24"/>
        </w:rPr>
        <w:t>.</w:t>
      </w:r>
      <w:r w:rsidRPr="004A43D4">
        <w:rPr>
          <w:sz w:val="24"/>
          <w:szCs w:val="24"/>
        </w:rPr>
        <w:t xml:space="preserve"> </w:t>
      </w:r>
    </w:p>
    <w:p w:rsidR="004A43D4" w:rsidRPr="004A43D4" w:rsidRDefault="004A43D4" w:rsidP="004A43D4">
      <w:pPr>
        <w:pStyle w:val="Prrafodelista"/>
        <w:rPr>
          <w:sz w:val="24"/>
          <w:szCs w:val="24"/>
        </w:rPr>
      </w:pPr>
    </w:p>
    <w:p w:rsidR="00857B7C" w:rsidRPr="004A43D4" w:rsidRDefault="00857B7C" w:rsidP="00857B7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4A43D4">
        <w:rPr>
          <w:sz w:val="24"/>
          <w:szCs w:val="24"/>
        </w:rPr>
        <w:t>Régimen legal de los accidentes del trabajo y las enfermedades profesionales. Características del sistema. Impugnación constitucional.</w:t>
      </w:r>
    </w:p>
    <w:p w:rsidR="00857B7C" w:rsidRPr="00857B7C" w:rsidRDefault="00857B7C" w:rsidP="00857B7C">
      <w:pPr>
        <w:pStyle w:val="Prrafodelista"/>
        <w:jc w:val="both"/>
        <w:rPr>
          <w:sz w:val="24"/>
          <w:szCs w:val="24"/>
        </w:rPr>
      </w:pPr>
    </w:p>
    <w:p w:rsidR="00FD753C" w:rsidRDefault="00FD753C" w:rsidP="00FD753C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lastRenderedPageBreak/>
        <w:t>Bibliografía</w:t>
      </w:r>
    </w:p>
    <w:p w:rsidR="00FD753C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4"/>
          <w:szCs w:val="24"/>
        </w:rPr>
      </w:pPr>
      <w:r w:rsidRPr="00717DC8">
        <w:rPr>
          <w:rFonts w:cstheme="minorHAnsi"/>
          <w:sz w:val="24"/>
          <w:szCs w:val="24"/>
        </w:rPr>
        <w:t>Unidad 1:</w:t>
      </w:r>
    </w:p>
    <w:p w:rsidR="004A43D4" w:rsidRDefault="004A43D4" w:rsidP="00777BD8">
      <w:pPr>
        <w:jc w:val="both"/>
        <w:rPr>
          <w:rFonts w:cstheme="minorHAnsi"/>
          <w:sz w:val="20"/>
          <w:szCs w:val="20"/>
        </w:rPr>
      </w:pPr>
    </w:p>
    <w:p w:rsidR="00A47368" w:rsidRDefault="00A47368" w:rsidP="00777BD8">
      <w:pPr>
        <w:jc w:val="both"/>
        <w:rPr>
          <w:rFonts w:cstheme="minorHAnsi"/>
          <w:sz w:val="20"/>
          <w:szCs w:val="20"/>
        </w:rPr>
      </w:pPr>
      <w:r w:rsidRPr="00A47368">
        <w:rPr>
          <w:rFonts w:cstheme="minorHAnsi"/>
          <w:sz w:val="20"/>
          <w:szCs w:val="20"/>
        </w:rPr>
        <w:t>PALOMEQUE LOPEZ, MANUEL CARLOS, “La razón de ser del derecho del trabajo”, en “Derecho del trabajo e ideología”, 5° edición, Madrid, 1995.</w:t>
      </w:r>
    </w:p>
    <w:p w:rsidR="00A47368" w:rsidRPr="00A47368" w:rsidRDefault="00A47368" w:rsidP="00777BD8">
      <w:pPr>
        <w:jc w:val="both"/>
        <w:rPr>
          <w:rFonts w:cstheme="minorHAnsi"/>
          <w:sz w:val="20"/>
          <w:szCs w:val="20"/>
        </w:rPr>
      </w:pPr>
      <w:r w:rsidRPr="00A47368">
        <w:rPr>
          <w:rFonts w:cstheme="minorHAnsi"/>
          <w:sz w:val="20"/>
          <w:szCs w:val="20"/>
        </w:rPr>
        <w:t xml:space="preserve">GIANIBELLI, GUILLERMO, “Algunos intentos explicativos sobre el derecho del Trabajo”, en “Estudios de Teoría Crítica de Derecho del Trabajo (Inspirados en Moisés </w:t>
      </w:r>
      <w:proofErr w:type="spellStart"/>
      <w:r w:rsidRPr="00A47368">
        <w:rPr>
          <w:rFonts w:cstheme="minorHAnsi"/>
          <w:sz w:val="20"/>
          <w:szCs w:val="20"/>
        </w:rPr>
        <w:t>Meik</w:t>
      </w:r>
      <w:proofErr w:type="spellEnd"/>
      <w:r w:rsidRPr="00A47368">
        <w:rPr>
          <w:rFonts w:cstheme="minorHAnsi"/>
          <w:sz w:val="20"/>
          <w:szCs w:val="20"/>
        </w:rPr>
        <w:t xml:space="preserve">)”, Gianibelli y Zas, Coordinadores, Editorial </w:t>
      </w:r>
      <w:proofErr w:type="spellStart"/>
      <w:r w:rsidRPr="00A47368">
        <w:rPr>
          <w:rFonts w:cstheme="minorHAnsi"/>
          <w:sz w:val="20"/>
          <w:szCs w:val="20"/>
        </w:rPr>
        <w:t>Bomarzo</w:t>
      </w:r>
      <w:proofErr w:type="spellEnd"/>
      <w:r w:rsidRPr="00A47368">
        <w:rPr>
          <w:rFonts w:cstheme="minorHAnsi"/>
          <w:sz w:val="20"/>
          <w:szCs w:val="20"/>
        </w:rPr>
        <w:t xml:space="preserve"> Latinoamericana, 2006.</w:t>
      </w:r>
    </w:p>
    <w:p w:rsidR="0070437E" w:rsidRDefault="005C29B3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5C29B3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UPIOT, ALAIN,</w:t>
      </w:r>
      <w:r w:rsidRPr="005C29B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5C29B3">
        <w:rPr>
          <w:rFonts w:cstheme="minorHAnsi"/>
          <w:sz w:val="20"/>
          <w:szCs w:val="20"/>
        </w:rPr>
        <w:t>Grandeza y Miseria del Estado Social</w:t>
      </w:r>
      <w:r>
        <w:rPr>
          <w:rFonts w:cstheme="minorHAnsi"/>
          <w:sz w:val="20"/>
          <w:szCs w:val="20"/>
        </w:rPr>
        <w:t>”</w:t>
      </w:r>
      <w:r w:rsidRPr="005C29B3">
        <w:rPr>
          <w:rFonts w:cstheme="minorHAnsi"/>
          <w:sz w:val="20"/>
          <w:szCs w:val="20"/>
        </w:rPr>
        <w:t xml:space="preserve">, New </w:t>
      </w:r>
      <w:proofErr w:type="spellStart"/>
      <w:r w:rsidRPr="005C29B3">
        <w:rPr>
          <w:rFonts w:cstheme="minorHAnsi"/>
          <w:sz w:val="20"/>
          <w:szCs w:val="20"/>
        </w:rPr>
        <w:t>Left</w:t>
      </w:r>
      <w:proofErr w:type="spellEnd"/>
      <w:r w:rsidRPr="005C29B3">
        <w:rPr>
          <w:rFonts w:cstheme="minorHAnsi"/>
          <w:sz w:val="20"/>
          <w:szCs w:val="20"/>
        </w:rPr>
        <w:t xml:space="preserve"> </w:t>
      </w:r>
      <w:proofErr w:type="spellStart"/>
      <w:r w:rsidRPr="005C29B3">
        <w:rPr>
          <w:rFonts w:cstheme="minorHAnsi"/>
          <w:sz w:val="20"/>
          <w:szCs w:val="20"/>
        </w:rPr>
        <w:t>Review</w:t>
      </w:r>
      <w:proofErr w:type="spellEnd"/>
      <w:r w:rsidRPr="005C29B3">
        <w:rPr>
          <w:rFonts w:cstheme="minorHAnsi"/>
          <w:sz w:val="20"/>
          <w:szCs w:val="20"/>
        </w:rPr>
        <w:t xml:space="preserve"> nº 82, Segunda </w:t>
      </w:r>
      <w:proofErr w:type="spellStart"/>
      <w:r w:rsidRPr="005C29B3">
        <w:rPr>
          <w:rFonts w:cstheme="minorHAnsi"/>
          <w:sz w:val="20"/>
          <w:szCs w:val="20"/>
        </w:rPr>
        <w:t>Epoca</w:t>
      </w:r>
      <w:proofErr w:type="spellEnd"/>
      <w:r w:rsidRPr="005C29B3">
        <w:rPr>
          <w:rFonts w:cstheme="minorHAnsi"/>
          <w:sz w:val="20"/>
          <w:szCs w:val="20"/>
        </w:rPr>
        <w:t>, Septiembre-Octubre 2013, p. 157.</w:t>
      </w:r>
    </w:p>
    <w:p w:rsidR="0070437E" w:rsidRDefault="0070437E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FD753C" w:rsidRPr="004A43D4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4A43D4">
        <w:rPr>
          <w:rFonts w:cstheme="minorHAnsi"/>
          <w:sz w:val="20"/>
          <w:szCs w:val="20"/>
        </w:rPr>
        <w:t>- MARTIN VALVERDE, ANTONIO, “Concurrencia y articulación de normas Laborales”, en “Revista de Política Social”, Madrid, 1978.</w:t>
      </w:r>
    </w:p>
    <w:p w:rsidR="004A43D4" w:rsidRPr="004A43D4" w:rsidRDefault="004A43D4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FD753C" w:rsidRPr="004A43D4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4A43D4">
        <w:rPr>
          <w:rFonts w:cstheme="minorHAnsi"/>
          <w:sz w:val="20"/>
          <w:szCs w:val="20"/>
        </w:rPr>
        <w:t>- VON POTOBSKY, GERALDO, “Los convenios de la Organización Internacional del Trabajo: ¿una nueva dimensión en el orden jurídico interno?”, en “Derecho del Trabajo”, Buenos Aires, 1997.</w:t>
      </w:r>
    </w:p>
    <w:p w:rsidR="00FD753C" w:rsidRPr="004A43D4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FD753C" w:rsidRPr="00717DC8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4A43D4">
        <w:rPr>
          <w:rFonts w:cstheme="minorHAnsi"/>
          <w:sz w:val="20"/>
          <w:szCs w:val="20"/>
        </w:rPr>
        <w:t xml:space="preserve">- ROMAGNOLI, UMBERTO, “Del Derecho del trabajo al derecho para el trabajo”, en “Revista de Derecho Social N° </w:t>
      </w:r>
      <w:smartTag w:uri="urn:schemas-microsoft-com:office:smarttags" w:element="metricconverter">
        <w:smartTagPr>
          <w:attr w:name="ProductID" w:val="2”"/>
        </w:smartTagPr>
        <w:r w:rsidRPr="004A43D4">
          <w:rPr>
            <w:rFonts w:cstheme="minorHAnsi"/>
            <w:sz w:val="20"/>
            <w:szCs w:val="20"/>
          </w:rPr>
          <w:t>2”</w:t>
        </w:r>
      </w:smartTag>
      <w:r w:rsidRPr="004A43D4">
        <w:rPr>
          <w:rFonts w:cstheme="minorHAnsi"/>
          <w:sz w:val="20"/>
          <w:szCs w:val="20"/>
        </w:rPr>
        <w:t>, Madrid, 1998.</w:t>
      </w:r>
    </w:p>
    <w:p w:rsidR="004A43D4" w:rsidRDefault="004A43D4" w:rsidP="00FD753C">
      <w:pPr>
        <w:spacing w:after="0" w:line="240" w:lineRule="auto"/>
        <w:contextualSpacing/>
        <w:mirrorIndents/>
        <w:jc w:val="both"/>
        <w:rPr>
          <w:rFonts w:cstheme="minorHAnsi"/>
          <w:sz w:val="24"/>
          <w:szCs w:val="24"/>
        </w:rPr>
      </w:pPr>
    </w:p>
    <w:p w:rsidR="00FD753C" w:rsidRPr="00A47368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4"/>
          <w:szCs w:val="24"/>
        </w:rPr>
      </w:pPr>
      <w:r w:rsidRPr="00A47368">
        <w:rPr>
          <w:rFonts w:cstheme="minorHAnsi"/>
          <w:sz w:val="24"/>
          <w:szCs w:val="24"/>
        </w:rPr>
        <w:t>Unidad 2</w:t>
      </w:r>
      <w:r w:rsidR="00A47368">
        <w:rPr>
          <w:rFonts w:cstheme="minorHAnsi"/>
          <w:sz w:val="24"/>
          <w:szCs w:val="24"/>
        </w:rPr>
        <w:t>:</w:t>
      </w:r>
    </w:p>
    <w:p w:rsidR="00A47368" w:rsidRDefault="00A47368" w:rsidP="00FD753C">
      <w:pPr>
        <w:spacing w:after="0" w:line="240" w:lineRule="auto"/>
        <w:contextualSpacing/>
        <w:mirrorIndents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FD753C" w:rsidRPr="00777BD8" w:rsidRDefault="00A47368" w:rsidP="00777BD8">
      <w:pPr>
        <w:spacing w:after="0" w:line="240" w:lineRule="auto"/>
        <w:mirrorIndents/>
        <w:jc w:val="both"/>
        <w:rPr>
          <w:rFonts w:cstheme="minorHAnsi"/>
          <w:sz w:val="20"/>
          <w:szCs w:val="20"/>
          <w:lang w:val="es-ES_tradnl"/>
        </w:rPr>
      </w:pPr>
      <w:r w:rsidRPr="00777BD8">
        <w:rPr>
          <w:rFonts w:eastAsia="Times New Roman" w:cstheme="minorHAnsi"/>
          <w:sz w:val="20"/>
          <w:szCs w:val="20"/>
          <w:lang w:val="es-ES_tradnl" w:eastAsia="es-ES"/>
        </w:rPr>
        <w:t>GARMENDIA, MARIO (2007), “La negociación y el convenio colectivo”, en  ACKERMAN, Mario E. (</w:t>
      </w:r>
      <w:proofErr w:type="spellStart"/>
      <w:r w:rsidRPr="00777BD8">
        <w:rPr>
          <w:rFonts w:eastAsia="Times New Roman" w:cstheme="minorHAnsi"/>
          <w:sz w:val="20"/>
          <w:szCs w:val="20"/>
          <w:lang w:val="es-ES_tradnl" w:eastAsia="es-ES"/>
        </w:rPr>
        <w:t>dir.</w:t>
      </w:r>
      <w:proofErr w:type="spellEnd"/>
      <w:r w:rsidRPr="00777BD8">
        <w:rPr>
          <w:rFonts w:eastAsia="Times New Roman" w:cstheme="minorHAnsi"/>
          <w:sz w:val="20"/>
          <w:szCs w:val="20"/>
          <w:lang w:val="es-ES_tradnl" w:eastAsia="es-ES"/>
        </w:rPr>
        <w:t xml:space="preserve">) y TOSCA, Diego M. (coord.), “Tratado de Derecho del Trabajo”, t. VII – II, </w:t>
      </w:r>
      <w:proofErr w:type="spellStart"/>
      <w:r w:rsidRPr="00777BD8">
        <w:rPr>
          <w:rFonts w:eastAsia="Times New Roman" w:cstheme="minorHAnsi"/>
          <w:sz w:val="20"/>
          <w:szCs w:val="20"/>
          <w:lang w:val="es-ES_tradnl" w:eastAsia="es-ES"/>
        </w:rPr>
        <w:t>Rubinzal-Culzoni</w:t>
      </w:r>
      <w:proofErr w:type="spellEnd"/>
      <w:r w:rsidRPr="00777BD8">
        <w:rPr>
          <w:rFonts w:eastAsia="Times New Roman" w:cstheme="minorHAnsi"/>
          <w:sz w:val="20"/>
          <w:szCs w:val="20"/>
          <w:lang w:val="es-ES_tradnl" w:eastAsia="es-ES"/>
        </w:rPr>
        <w:t>, Bs. As., p. 11/57.</w:t>
      </w:r>
    </w:p>
    <w:p w:rsidR="00A47368" w:rsidRDefault="00A47368" w:rsidP="00777BD8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777BD8" w:rsidRPr="009C0001" w:rsidRDefault="00777BD8" w:rsidP="00777BD8">
      <w:pPr>
        <w:jc w:val="both"/>
        <w:rPr>
          <w:rFonts w:cstheme="minorHAnsi"/>
          <w:sz w:val="20"/>
          <w:szCs w:val="20"/>
        </w:rPr>
      </w:pPr>
      <w:r w:rsidRPr="00777BD8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>ARCÍA,</w:t>
      </w:r>
      <w:r w:rsidRPr="00777BD8">
        <w:rPr>
          <w:rFonts w:cstheme="minorHAnsi"/>
          <w:sz w:val="20"/>
          <w:szCs w:val="20"/>
        </w:rPr>
        <w:t xml:space="preserve"> H</w:t>
      </w:r>
      <w:r>
        <w:rPr>
          <w:rFonts w:cstheme="minorHAnsi"/>
          <w:sz w:val="20"/>
          <w:szCs w:val="20"/>
        </w:rPr>
        <w:t>ÉCTOR</w:t>
      </w:r>
      <w:r w:rsidRPr="00777BD8">
        <w:rPr>
          <w:rFonts w:cstheme="minorHAnsi"/>
          <w:sz w:val="20"/>
          <w:szCs w:val="20"/>
        </w:rPr>
        <w:t xml:space="preserve"> O. (2009), “La huelga en los servicios esenciales”, en RODRIGUEZ MANCINI, Jorge (</w:t>
      </w:r>
      <w:proofErr w:type="spellStart"/>
      <w:r w:rsidRPr="00777BD8">
        <w:rPr>
          <w:rFonts w:cstheme="minorHAnsi"/>
          <w:sz w:val="20"/>
          <w:szCs w:val="20"/>
        </w:rPr>
        <w:t>dir.</w:t>
      </w:r>
      <w:proofErr w:type="spellEnd"/>
      <w:r w:rsidRPr="00777BD8">
        <w:rPr>
          <w:rFonts w:cstheme="minorHAnsi"/>
          <w:sz w:val="20"/>
          <w:szCs w:val="20"/>
        </w:rPr>
        <w:t xml:space="preserve">), </w:t>
      </w:r>
      <w:r w:rsidRPr="009C0001">
        <w:rPr>
          <w:rFonts w:cstheme="minorHAnsi"/>
          <w:sz w:val="20"/>
          <w:szCs w:val="20"/>
        </w:rPr>
        <w:t xml:space="preserve">“Curso de Derecho del Trabajo y la Seguridad Social”, </w:t>
      </w:r>
      <w:proofErr w:type="spellStart"/>
      <w:r w:rsidRPr="009C0001">
        <w:rPr>
          <w:rFonts w:cstheme="minorHAnsi"/>
          <w:sz w:val="20"/>
          <w:szCs w:val="20"/>
        </w:rPr>
        <w:t>Astrea</w:t>
      </w:r>
      <w:proofErr w:type="spellEnd"/>
      <w:r w:rsidRPr="009C0001">
        <w:rPr>
          <w:rFonts w:cstheme="minorHAnsi"/>
          <w:sz w:val="20"/>
          <w:szCs w:val="20"/>
        </w:rPr>
        <w:t>, Buenos Aires.</w:t>
      </w:r>
    </w:p>
    <w:p w:rsidR="00777BD8" w:rsidRDefault="009C0001" w:rsidP="00777BD8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9C0001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 xml:space="preserve">OHNSTON, HANNAH Y LAND-KAZLAUSKAS, CHRIS, </w:t>
      </w:r>
      <w:r w:rsidRPr="009C0001">
        <w:rPr>
          <w:rFonts w:cstheme="minorHAnsi"/>
          <w:sz w:val="20"/>
          <w:szCs w:val="20"/>
        </w:rPr>
        <w:t xml:space="preserve">(2018), </w:t>
      </w:r>
      <w:r w:rsidR="005C29B3">
        <w:rPr>
          <w:rFonts w:cstheme="minorHAnsi"/>
          <w:sz w:val="20"/>
          <w:szCs w:val="20"/>
        </w:rPr>
        <w:t>“</w:t>
      </w:r>
      <w:r w:rsidRPr="009C0001">
        <w:rPr>
          <w:rFonts w:cstheme="minorHAnsi"/>
          <w:sz w:val="20"/>
          <w:szCs w:val="20"/>
        </w:rPr>
        <w:t>Representación, voz y negociación colectiva: la sindicalización en la economía del trabajo esporádico y por encargo, Serie Condiciones de Trabajo y Empleo nº 94, OIT</w:t>
      </w:r>
      <w:r w:rsidR="005C29B3">
        <w:rPr>
          <w:rFonts w:cstheme="minorHAnsi"/>
          <w:sz w:val="20"/>
          <w:szCs w:val="20"/>
        </w:rPr>
        <w:t>.</w:t>
      </w:r>
    </w:p>
    <w:p w:rsidR="005C29B3" w:rsidRDefault="005C29B3" w:rsidP="00777BD8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05453C" w:rsidRDefault="00054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05453C">
        <w:rPr>
          <w:rFonts w:cstheme="minorHAnsi"/>
          <w:sz w:val="20"/>
          <w:szCs w:val="20"/>
        </w:rPr>
        <w:t xml:space="preserve">TRIBUZIO, JOSE E., “¿Un nuevo modelo sindical argentino?”, DT, </w:t>
      </w:r>
      <w:r w:rsidR="004A43D4">
        <w:rPr>
          <w:rFonts w:cstheme="minorHAnsi"/>
          <w:sz w:val="20"/>
          <w:szCs w:val="20"/>
        </w:rPr>
        <w:t>2010.</w:t>
      </w:r>
    </w:p>
    <w:p w:rsidR="004A43D4" w:rsidRDefault="004A43D4" w:rsidP="00FD753C">
      <w:pPr>
        <w:spacing w:after="0" w:line="240" w:lineRule="auto"/>
        <w:contextualSpacing/>
        <w:mirrorIndents/>
        <w:jc w:val="both"/>
        <w:rPr>
          <w:rFonts w:cstheme="minorHAnsi"/>
          <w:sz w:val="24"/>
          <w:szCs w:val="24"/>
        </w:rPr>
      </w:pPr>
    </w:p>
    <w:p w:rsidR="00FD753C" w:rsidRDefault="00A47368" w:rsidP="00FD753C">
      <w:pPr>
        <w:spacing w:after="0" w:line="240" w:lineRule="auto"/>
        <w:contextualSpacing/>
        <w:mirrorIndents/>
        <w:jc w:val="both"/>
        <w:rPr>
          <w:rFonts w:cstheme="minorHAnsi"/>
          <w:sz w:val="24"/>
          <w:szCs w:val="24"/>
        </w:rPr>
      </w:pPr>
      <w:r w:rsidRPr="00A47368">
        <w:rPr>
          <w:rFonts w:cstheme="minorHAnsi"/>
          <w:sz w:val="24"/>
          <w:szCs w:val="24"/>
        </w:rPr>
        <w:t>Unidad 3:</w:t>
      </w:r>
      <w:r w:rsidR="00FD753C" w:rsidRPr="00A47368">
        <w:rPr>
          <w:rFonts w:cstheme="minorHAnsi"/>
          <w:sz w:val="24"/>
          <w:szCs w:val="24"/>
        </w:rPr>
        <w:t xml:space="preserve"> </w:t>
      </w:r>
    </w:p>
    <w:p w:rsidR="005C29B3" w:rsidRDefault="005C29B3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5C29B3" w:rsidRPr="004A43D4" w:rsidRDefault="005C29B3" w:rsidP="00FD753C">
      <w:pPr>
        <w:spacing w:after="0" w:line="240" w:lineRule="auto"/>
        <w:contextualSpacing/>
        <w:mirrorIndents/>
        <w:jc w:val="both"/>
        <w:rPr>
          <w:rFonts w:cstheme="minorHAnsi"/>
          <w:i/>
          <w:sz w:val="20"/>
          <w:szCs w:val="20"/>
        </w:rPr>
      </w:pPr>
      <w:r w:rsidRPr="004A43D4">
        <w:rPr>
          <w:rFonts w:cstheme="minorHAnsi"/>
          <w:i/>
          <w:sz w:val="20"/>
          <w:szCs w:val="20"/>
        </w:rPr>
        <w:t>(cada uno de los temas abordados en esta unidad se complementa con la jurisprudencia respectiva que se analiza en clase)</w:t>
      </w:r>
    </w:p>
    <w:p w:rsidR="00A47368" w:rsidRPr="005C29B3" w:rsidRDefault="00A47368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A47368" w:rsidRPr="005C29B3" w:rsidRDefault="00A47368" w:rsidP="00A47368">
      <w:pPr>
        <w:rPr>
          <w:rFonts w:cstheme="minorHAnsi"/>
          <w:sz w:val="20"/>
          <w:szCs w:val="20"/>
        </w:rPr>
      </w:pPr>
      <w:r w:rsidRPr="005C29B3">
        <w:rPr>
          <w:rFonts w:cstheme="minorHAnsi"/>
          <w:sz w:val="20"/>
          <w:szCs w:val="20"/>
        </w:rPr>
        <w:t>ERMIDA URIARTE, OSCAR Y HERNANDEZ ALVAREZ, OSCAR, “Crítica de la subordinación”, Venezuela, 2000.</w:t>
      </w:r>
    </w:p>
    <w:p w:rsidR="00A47368" w:rsidRDefault="00A47368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A47368">
        <w:rPr>
          <w:rFonts w:cstheme="minorHAnsi"/>
          <w:sz w:val="20"/>
          <w:szCs w:val="20"/>
        </w:rPr>
        <w:t>ERMIDA URIARTE, OSCAR Y COLOTUZZO NATALIA,</w:t>
      </w:r>
      <w:r w:rsidR="0090797A">
        <w:rPr>
          <w:rFonts w:cstheme="minorHAnsi"/>
          <w:sz w:val="20"/>
          <w:szCs w:val="20"/>
        </w:rPr>
        <w:t xml:space="preserve"> </w:t>
      </w:r>
      <w:r w:rsidRPr="00A47368">
        <w:rPr>
          <w:rFonts w:cstheme="minorHAnsi"/>
          <w:sz w:val="20"/>
          <w:szCs w:val="20"/>
        </w:rPr>
        <w:t xml:space="preserve">”Descentralización, tercerización, subcontratación”. Publicación Digital OIT, Proyecto FSAL. Lima. Disponible </w:t>
      </w:r>
      <w:hyperlink r:id="rId9" w:history="1">
        <w:r w:rsidRPr="00A47368">
          <w:rPr>
            <w:rStyle w:val="Hipervnculo"/>
            <w:rFonts w:cstheme="minorHAnsi"/>
            <w:sz w:val="20"/>
            <w:szCs w:val="20"/>
          </w:rPr>
          <w:t>http://fetia.org.ar/publicaciones/libros-revistas.html?download=44:ermida-uriarte-estudio-descentralizacion-tercerizacion-subcontratacion</w:t>
        </w:r>
      </w:hyperlink>
      <w:r w:rsidRPr="00A47368">
        <w:rPr>
          <w:rFonts w:cstheme="minorHAnsi"/>
          <w:sz w:val="20"/>
          <w:szCs w:val="20"/>
        </w:rPr>
        <w:t>. 17/04/2016</w:t>
      </w:r>
      <w:r w:rsidR="0090797A">
        <w:rPr>
          <w:rFonts w:cstheme="minorHAnsi"/>
          <w:sz w:val="20"/>
          <w:szCs w:val="20"/>
        </w:rPr>
        <w:t>.</w:t>
      </w:r>
    </w:p>
    <w:p w:rsidR="0090797A" w:rsidRDefault="0090797A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90797A" w:rsidRPr="00A47368" w:rsidRDefault="0090797A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ACKERMAN, MARIO, “El COVID 19 (coronavirus) y la relación de trabajo”, Revista de Derecho Laboral, 2020.</w:t>
      </w:r>
    </w:p>
    <w:p w:rsidR="00A47368" w:rsidRDefault="00A47368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05453C" w:rsidRDefault="00054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  <w:r w:rsidRPr="004A43D4">
        <w:rPr>
          <w:rFonts w:cstheme="minorHAnsi"/>
          <w:sz w:val="20"/>
          <w:szCs w:val="20"/>
        </w:rPr>
        <w:lastRenderedPageBreak/>
        <w:t>VALDES DAL RE, FERNANDO; “Poderes del empresario y derechos de la persona del trabajador”</w:t>
      </w:r>
      <w:r w:rsidR="004A43D4" w:rsidRPr="004A43D4">
        <w:rPr>
          <w:rFonts w:cstheme="minorHAnsi"/>
          <w:sz w:val="20"/>
          <w:szCs w:val="20"/>
        </w:rPr>
        <w:t>, RDL, 2008</w:t>
      </w:r>
      <w:r w:rsidRPr="004A43D4">
        <w:rPr>
          <w:rFonts w:cstheme="minorHAnsi"/>
          <w:sz w:val="20"/>
          <w:szCs w:val="20"/>
        </w:rPr>
        <w:t>.</w:t>
      </w:r>
    </w:p>
    <w:p w:rsidR="00A47368" w:rsidRDefault="00A47368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FD753C" w:rsidRPr="0070437E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</w:rPr>
      </w:pPr>
    </w:p>
    <w:p w:rsidR="0070437E" w:rsidRPr="00777BD8" w:rsidRDefault="0005453C" w:rsidP="00FD753C">
      <w:pPr>
        <w:spacing w:after="0" w:line="240" w:lineRule="auto"/>
        <w:contextualSpacing/>
        <w:mirrorIndents/>
        <w:jc w:val="both"/>
        <w:rPr>
          <w:rFonts w:cstheme="minorHAnsi"/>
          <w:highlight w:val="yellow"/>
          <w:lang w:val="es-ES"/>
        </w:rPr>
      </w:pPr>
      <w:r>
        <w:rPr>
          <w:rFonts w:cstheme="minorHAnsi"/>
          <w:lang w:val="es-ES"/>
        </w:rPr>
        <w:t>Unidad 4</w:t>
      </w:r>
      <w:r w:rsidRPr="0005453C">
        <w:rPr>
          <w:rFonts w:cstheme="minorHAnsi"/>
          <w:lang w:val="es-ES"/>
        </w:rPr>
        <w:t>:</w:t>
      </w:r>
    </w:p>
    <w:p w:rsidR="00FD753C" w:rsidRPr="00777BD8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highlight w:val="yellow"/>
          <w:lang w:eastAsia="fr-FR"/>
        </w:rPr>
      </w:pPr>
    </w:p>
    <w:p w:rsidR="00FD753C" w:rsidRPr="0005453C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sz w:val="20"/>
          <w:szCs w:val="20"/>
          <w:lang w:eastAsia="fr-FR"/>
        </w:rPr>
      </w:pPr>
      <w:r w:rsidRPr="0005453C">
        <w:rPr>
          <w:rFonts w:cstheme="minorHAnsi"/>
          <w:sz w:val="20"/>
          <w:szCs w:val="20"/>
          <w:lang w:eastAsia="fr-FR"/>
        </w:rPr>
        <w:t>C</w:t>
      </w:r>
      <w:r w:rsidR="0005453C" w:rsidRPr="0005453C">
        <w:rPr>
          <w:rFonts w:cstheme="minorHAnsi"/>
          <w:sz w:val="20"/>
          <w:szCs w:val="20"/>
          <w:lang w:eastAsia="fr-FR"/>
        </w:rPr>
        <w:t>ASTEL</w:t>
      </w:r>
      <w:r w:rsidRPr="0005453C">
        <w:rPr>
          <w:rFonts w:cstheme="minorHAnsi"/>
          <w:sz w:val="20"/>
          <w:szCs w:val="20"/>
          <w:lang w:eastAsia="fr-FR"/>
        </w:rPr>
        <w:t>, R</w:t>
      </w:r>
      <w:r w:rsidR="0005453C" w:rsidRPr="0005453C">
        <w:rPr>
          <w:rFonts w:cstheme="minorHAnsi"/>
          <w:sz w:val="20"/>
          <w:szCs w:val="20"/>
          <w:lang w:eastAsia="fr-FR"/>
        </w:rPr>
        <w:t xml:space="preserve">OBERT, </w:t>
      </w:r>
      <w:r w:rsidRPr="0005453C">
        <w:rPr>
          <w:rFonts w:cstheme="minorHAnsi"/>
          <w:i/>
          <w:sz w:val="20"/>
          <w:szCs w:val="20"/>
          <w:lang w:eastAsia="fr-FR"/>
        </w:rPr>
        <w:t>La inseguridad social</w:t>
      </w:r>
      <w:r w:rsidR="0005453C" w:rsidRPr="0005453C">
        <w:rPr>
          <w:rFonts w:cstheme="minorHAnsi"/>
          <w:sz w:val="20"/>
          <w:szCs w:val="20"/>
          <w:lang w:eastAsia="fr-FR"/>
        </w:rPr>
        <w:t xml:space="preserve"> (</w:t>
      </w:r>
      <w:proofErr w:type="spellStart"/>
      <w:r w:rsidRPr="0005453C">
        <w:rPr>
          <w:rFonts w:cstheme="minorHAnsi"/>
          <w:sz w:val="20"/>
          <w:szCs w:val="20"/>
          <w:lang w:eastAsia="fr-FR"/>
        </w:rPr>
        <w:t>Cap</w:t>
      </w:r>
      <w:proofErr w:type="spellEnd"/>
      <w:r w:rsidRPr="0005453C">
        <w:rPr>
          <w:rFonts w:cstheme="minorHAnsi"/>
          <w:sz w:val="20"/>
          <w:szCs w:val="20"/>
          <w:lang w:eastAsia="fr-FR"/>
        </w:rPr>
        <w:t xml:space="preserve"> 2 : La Seguridad Social en el Estado protector, cap. 3: El aumento de la incertidumbre, cap. 4: Una nueva problemática del riesgo y Conclusión</w:t>
      </w:r>
      <w:r w:rsidR="0005453C" w:rsidRPr="0005453C">
        <w:rPr>
          <w:rFonts w:cstheme="minorHAnsi"/>
          <w:sz w:val="20"/>
          <w:szCs w:val="20"/>
          <w:lang w:eastAsia="fr-FR"/>
        </w:rPr>
        <w:t>)</w:t>
      </w:r>
      <w:r w:rsidRPr="0005453C">
        <w:rPr>
          <w:rFonts w:cstheme="minorHAnsi"/>
          <w:sz w:val="20"/>
          <w:szCs w:val="20"/>
          <w:lang w:eastAsia="fr-FR"/>
        </w:rPr>
        <w:t xml:space="preserve">, </w:t>
      </w:r>
      <w:r w:rsidR="0005453C" w:rsidRPr="0005453C">
        <w:rPr>
          <w:rFonts w:cstheme="minorHAnsi"/>
          <w:sz w:val="20"/>
          <w:szCs w:val="20"/>
          <w:lang w:eastAsia="fr-FR"/>
        </w:rPr>
        <w:t xml:space="preserve">2003, </w:t>
      </w:r>
      <w:r w:rsidRPr="0005453C">
        <w:rPr>
          <w:rFonts w:cstheme="minorHAnsi"/>
          <w:sz w:val="20"/>
          <w:szCs w:val="20"/>
          <w:lang w:eastAsia="fr-FR"/>
        </w:rPr>
        <w:t>Editorial Manantial.</w:t>
      </w:r>
    </w:p>
    <w:p w:rsidR="00FD753C" w:rsidRPr="0070437E" w:rsidRDefault="00FD753C" w:rsidP="00FD753C">
      <w:pPr>
        <w:pStyle w:val="Sangra2detindependiente"/>
        <w:spacing w:after="0" w:line="240" w:lineRule="auto"/>
        <w:ind w:left="0"/>
        <w:contextualSpacing/>
        <w:mirrorIndents/>
        <w:jc w:val="both"/>
        <w:rPr>
          <w:rFonts w:asciiTheme="minorHAnsi" w:hAnsiTheme="minorHAnsi" w:cstheme="minorHAnsi"/>
          <w:lang w:val="es-ES"/>
        </w:rPr>
      </w:pPr>
    </w:p>
    <w:p w:rsidR="00FD753C" w:rsidRPr="00717DC8" w:rsidRDefault="00FD753C" w:rsidP="00FD753C">
      <w:pPr>
        <w:spacing w:after="0" w:line="240" w:lineRule="auto"/>
        <w:contextualSpacing/>
        <w:mirrorIndents/>
        <w:jc w:val="both"/>
        <w:rPr>
          <w:rFonts w:cstheme="minorHAnsi"/>
          <w:b/>
          <w:noProof/>
          <w:sz w:val="24"/>
          <w:szCs w:val="24"/>
          <w:lang w:eastAsia="es-AR"/>
        </w:rPr>
      </w:pPr>
    </w:p>
    <w:p w:rsidR="00FD753C" w:rsidRDefault="00FD753C" w:rsidP="00FD753C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4A43D4" w:rsidRDefault="00FD753C" w:rsidP="00FD753C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154928">
        <w:rPr>
          <w:rFonts w:asciiTheme="minorHAnsi" w:hAnsiTheme="minorHAnsi" w:cstheme="minorHAnsi"/>
          <w:sz w:val="24"/>
          <w:szCs w:val="24"/>
        </w:rPr>
        <w:t xml:space="preserve">La cursada se desarrolla en 8 encuentros semanales. En función de las actuales circunstancias de emergencia sanitaria, </w:t>
      </w:r>
      <w:r w:rsidR="004A43D4">
        <w:rPr>
          <w:rFonts w:asciiTheme="minorHAnsi" w:hAnsiTheme="minorHAnsi" w:cstheme="minorHAnsi"/>
          <w:sz w:val="24"/>
          <w:szCs w:val="24"/>
        </w:rPr>
        <w:t>las clases serán impartidas a distancia, mediante plataformas digitales.</w:t>
      </w:r>
    </w:p>
    <w:p w:rsidR="00FD753C" w:rsidRPr="00154928" w:rsidRDefault="00FD753C" w:rsidP="00FD753C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154928">
        <w:rPr>
          <w:rFonts w:asciiTheme="minorHAnsi" w:hAnsiTheme="minorHAnsi" w:cstheme="minorHAnsi"/>
          <w:sz w:val="24"/>
          <w:szCs w:val="24"/>
        </w:rPr>
        <w:t>La evaluación de la materia, se realizará, a través de un trabajo final individual, que consistirá en a) una monografía o b) un examen domiciliario (deben optar por una sola).</w:t>
      </w:r>
    </w:p>
    <w:p w:rsidR="00FD753C" w:rsidRPr="00154928" w:rsidRDefault="00FD753C" w:rsidP="00FD753C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154928">
        <w:rPr>
          <w:rFonts w:asciiTheme="minorHAnsi" w:hAnsiTheme="minorHAnsi" w:cstheme="minorHAnsi"/>
          <w:sz w:val="24"/>
          <w:szCs w:val="24"/>
        </w:rPr>
        <w:t>La monografía se referirá a algún tema presentado en el curso, que se vincule con su trabajo de tesis o investigación. Los que opten por esta forma de evaluación, deberán entregar previamente un resumen de 1 carilla detallando el tema elegido y su vinculación.  Los que opten por realizar el examen domiciliario, deberán responder las preguntas que se les formulen, en relación a algunos contenidos del programa desarrollado.</w:t>
      </w:r>
    </w:p>
    <w:p w:rsidR="00FD753C" w:rsidRPr="00154928" w:rsidRDefault="00FD753C" w:rsidP="00FD75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es-AR"/>
        </w:rPr>
      </w:pPr>
      <w:r w:rsidRPr="00154928">
        <w:rPr>
          <w:rFonts w:cstheme="minorHAnsi"/>
          <w:sz w:val="24"/>
          <w:szCs w:val="24"/>
        </w:rPr>
        <w:t xml:space="preserve">La extensión del trabajo final, en sus dos opciones, deberá tener una extensión, de alrededor de 20 páginas (sin considerar, anexos, tablas, bibliografía, etc.)  </w:t>
      </w:r>
      <w:r w:rsidRPr="00154928">
        <w:rPr>
          <w:rFonts w:eastAsia="Calibri" w:cstheme="minorHAnsi"/>
          <w:sz w:val="24"/>
          <w:szCs w:val="24"/>
          <w:lang w:eastAsia="es-AR"/>
        </w:rPr>
        <w:t xml:space="preserve">Los trabajos escritos serán entregados en versión </w:t>
      </w:r>
      <w:r w:rsidRPr="00154928">
        <w:rPr>
          <w:rFonts w:eastAsia="Calibri" w:cstheme="minorHAnsi"/>
          <w:lang w:eastAsia="es-AR"/>
        </w:rPr>
        <w:t>digital</w:t>
      </w:r>
      <w:r w:rsidRPr="00154928">
        <w:rPr>
          <w:rFonts w:eastAsia="Calibri" w:cstheme="minorHAnsi"/>
          <w:sz w:val="24"/>
          <w:szCs w:val="24"/>
          <w:lang w:eastAsia="es-AR"/>
        </w:rPr>
        <w:t xml:space="preserve"> y respetaran las pautas formales obligatorias para la tesis de maestría (tipo de documento digital formato WORD, tipografía</w:t>
      </w:r>
      <w:r w:rsidRPr="00154928">
        <w:rPr>
          <w:rFonts w:eastAsia="Calibri" w:cstheme="minorHAnsi"/>
          <w:lang w:eastAsia="es-AR"/>
        </w:rPr>
        <w:t xml:space="preserve"> Times New </w:t>
      </w:r>
      <w:proofErr w:type="spellStart"/>
      <w:r w:rsidRPr="00154928">
        <w:rPr>
          <w:rFonts w:eastAsia="Calibri" w:cstheme="minorHAnsi"/>
          <w:lang w:eastAsia="es-AR"/>
        </w:rPr>
        <w:t>Roman</w:t>
      </w:r>
      <w:proofErr w:type="spellEnd"/>
      <w:r w:rsidRPr="00154928">
        <w:rPr>
          <w:rFonts w:eastAsia="Calibri" w:cstheme="minorHAnsi"/>
          <w:lang w:eastAsia="es-AR"/>
        </w:rPr>
        <w:t xml:space="preserve"> 12</w:t>
      </w:r>
      <w:r w:rsidRPr="00154928">
        <w:rPr>
          <w:rFonts w:eastAsia="Calibri" w:cstheme="minorHAnsi"/>
          <w:sz w:val="24"/>
          <w:szCs w:val="24"/>
          <w:lang w:eastAsia="es-AR"/>
        </w:rPr>
        <w:t>, normas APA para citas bibliográficas).</w:t>
      </w:r>
    </w:p>
    <w:p w:rsidR="00FD753C" w:rsidRPr="00154928" w:rsidRDefault="00FD753C" w:rsidP="00FD753C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FD753C" w:rsidRDefault="00FD753C" w:rsidP="00FD753C">
      <w:pPr>
        <w:jc w:val="both"/>
        <w:rPr>
          <w:rFonts w:cs="Aharoni"/>
          <w:b/>
          <w:sz w:val="36"/>
          <w:szCs w:val="36"/>
        </w:rPr>
      </w:pPr>
    </w:p>
    <w:p w:rsidR="00FD753C" w:rsidRPr="000822CE" w:rsidRDefault="00FD753C" w:rsidP="00FD753C">
      <w:pPr>
        <w:jc w:val="both"/>
        <w:rPr>
          <w:rFonts w:cs="Aharoni"/>
          <w:b/>
          <w:sz w:val="36"/>
          <w:szCs w:val="36"/>
        </w:rPr>
      </w:pPr>
    </w:p>
    <w:p w:rsidR="00CD6CC4" w:rsidRDefault="00CD6CC4"/>
    <w:sectPr w:rsidR="00CD6CC4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59" w:rsidRDefault="00E41859">
      <w:pPr>
        <w:spacing w:after="0" w:line="240" w:lineRule="auto"/>
      </w:pPr>
      <w:r>
        <w:separator/>
      </w:r>
    </w:p>
  </w:endnote>
  <w:endnote w:type="continuationSeparator" w:id="0">
    <w:p w:rsidR="00E41859" w:rsidRDefault="00E4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564473"/>
      <w:docPartObj>
        <w:docPartGallery w:val="Page Numbers (Bottom of Page)"/>
        <w:docPartUnique/>
      </w:docPartObj>
    </w:sdtPr>
    <w:sdtEndPr/>
    <w:sdtContent>
      <w:p w:rsidR="00717DC8" w:rsidRDefault="006B75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8C" w:rsidRPr="00171F8C">
          <w:rPr>
            <w:noProof/>
            <w:lang w:val="es-ES"/>
          </w:rPr>
          <w:t>2</w:t>
        </w:r>
        <w:r>
          <w:fldChar w:fldCharType="end"/>
        </w:r>
      </w:p>
    </w:sdtContent>
  </w:sdt>
  <w:p w:rsidR="00717DC8" w:rsidRDefault="00E418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59" w:rsidRDefault="00E41859">
      <w:pPr>
        <w:spacing w:after="0" w:line="240" w:lineRule="auto"/>
      </w:pPr>
      <w:r>
        <w:separator/>
      </w:r>
    </w:p>
  </w:footnote>
  <w:footnote w:type="continuationSeparator" w:id="0">
    <w:p w:rsidR="00E41859" w:rsidRDefault="00E4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2" w:rsidRDefault="006B7558">
    <w:pPr>
      <w:pStyle w:val="Encabezado"/>
    </w:pPr>
    <w:r w:rsidRPr="00E717A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40AA9EF" wp14:editId="48260805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418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73A8"/>
    <w:multiLevelType w:val="hybridMultilevel"/>
    <w:tmpl w:val="A24A7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29F"/>
    <w:multiLevelType w:val="hybridMultilevel"/>
    <w:tmpl w:val="CF7AF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998"/>
    <w:multiLevelType w:val="hybridMultilevel"/>
    <w:tmpl w:val="C0EA651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044522"/>
    <w:multiLevelType w:val="hybridMultilevel"/>
    <w:tmpl w:val="EB20B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3D6"/>
    <w:multiLevelType w:val="hybridMultilevel"/>
    <w:tmpl w:val="6F42A85E"/>
    <w:lvl w:ilvl="0" w:tplc="691018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748F"/>
    <w:multiLevelType w:val="hybridMultilevel"/>
    <w:tmpl w:val="D0328AC6"/>
    <w:lvl w:ilvl="0" w:tplc="5E3242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1174"/>
    <w:multiLevelType w:val="hybridMultilevel"/>
    <w:tmpl w:val="3326B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A35"/>
    <w:multiLevelType w:val="hybridMultilevel"/>
    <w:tmpl w:val="7868BA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C"/>
    <w:rsid w:val="0005453C"/>
    <w:rsid w:val="00171F8C"/>
    <w:rsid w:val="0017496A"/>
    <w:rsid w:val="00214BF8"/>
    <w:rsid w:val="00411B1D"/>
    <w:rsid w:val="004A43D4"/>
    <w:rsid w:val="005850E3"/>
    <w:rsid w:val="005C29B3"/>
    <w:rsid w:val="00610B43"/>
    <w:rsid w:val="00675BCF"/>
    <w:rsid w:val="006B7558"/>
    <w:rsid w:val="006E2E1D"/>
    <w:rsid w:val="0070437E"/>
    <w:rsid w:val="00777BD8"/>
    <w:rsid w:val="007C1793"/>
    <w:rsid w:val="00857B7C"/>
    <w:rsid w:val="00893A8A"/>
    <w:rsid w:val="0090797A"/>
    <w:rsid w:val="009C0001"/>
    <w:rsid w:val="00A2391F"/>
    <w:rsid w:val="00A42229"/>
    <w:rsid w:val="00A47368"/>
    <w:rsid w:val="00AB4C33"/>
    <w:rsid w:val="00B17044"/>
    <w:rsid w:val="00C21FF1"/>
    <w:rsid w:val="00CD6CC4"/>
    <w:rsid w:val="00DE14B7"/>
    <w:rsid w:val="00E41859"/>
    <w:rsid w:val="00EB249C"/>
    <w:rsid w:val="00F7445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7DAE-80CA-4C66-B8C8-3C681CB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53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D753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D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53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D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53C"/>
    <w:rPr>
      <w:lang w:val="es-AR"/>
    </w:rPr>
  </w:style>
  <w:style w:type="paragraph" w:styleId="Textoindependiente">
    <w:name w:val="Body Text"/>
    <w:basedOn w:val="Normal"/>
    <w:link w:val="TextoindependienteCar"/>
    <w:rsid w:val="00FD753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753C"/>
    <w:rPr>
      <w:rFonts w:ascii="Arial" w:eastAsia="Times New Roman" w:hAnsi="Arial" w:cs="Times New Roman"/>
      <w:szCs w:val="20"/>
      <w:lang w:eastAsia="es-ES"/>
    </w:rPr>
  </w:style>
  <w:style w:type="paragraph" w:customStyle="1" w:styleId="Pargrafodebibliografia">
    <w:name w:val="Parágrafo de bibliografia"/>
    <w:basedOn w:val="Normal"/>
    <w:rsid w:val="00FD753C"/>
    <w:pPr>
      <w:tabs>
        <w:tab w:val="left" w:pos="794"/>
      </w:tabs>
      <w:spacing w:after="120" w:line="360" w:lineRule="auto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D75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D753C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1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B1D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B1D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B1D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A47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tia.org.ar/publicaciones/libros-revistas.html?download=44:ermida-uriarte-estudio-descentralizacion-tercerizacion-subcontrat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B383B251F4687AC23CCA1DD05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6E21-15F8-4CAD-B0BC-5B68798C4D31}"/>
      </w:docPartPr>
      <w:docPartBody>
        <w:p w:rsidR="00674F35" w:rsidRDefault="00B5098A" w:rsidP="00B5098A">
          <w:pPr>
            <w:pStyle w:val="E0BB383B251F4687AC23CCA1DD0536E6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3404FD119E463DB1C5DABBD20A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9262-044D-42DC-B64D-1AD3B69C369B}"/>
      </w:docPartPr>
      <w:docPartBody>
        <w:p w:rsidR="00674F35" w:rsidRDefault="00B5098A" w:rsidP="00B5098A">
          <w:pPr>
            <w:pStyle w:val="D93404FD119E463DB1C5DABBD20AF120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A"/>
    <w:rsid w:val="00080DA4"/>
    <w:rsid w:val="0012773E"/>
    <w:rsid w:val="00394206"/>
    <w:rsid w:val="00674F35"/>
    <w:rsid w:val="008575E3"/>
    <w:rsid w:val="00B5098A"/>
    <w:rsid w:val="00D06255"/>
    <w:rsid w:val="00D10360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098A"/>
    <w:rPr>
      <w:color w:val="808080"/>
    </w:rPr>
  </w:style>
  <w:style w:type="paragraph" w:customStyle="1" w:styleId="E0BB383B251F4687AC23CCA1DD0536E6">
    <w:name w:val="E0BB383B251F4687AC23CCA1DD0536E6"/>
    <w:rsid w:val="00B5098A"/>
  </w:style>
  <w:style w:type="paragraph" w:customStyle="1" w:styleId="D93404FD119E463DB1C5DABBD20AF120">
    <w:name w:val="D93404FD119E463DB1C5DABBD20AF120"/>
    <w:rsid w:val="00B50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1946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Cecilia Senen Gonzalez</cp:lastModifiedBy>
  <cp:revision>4</cp:revision>
  <dcterms:created xsi:type="dcterms:W3CDTF">2021-03-12T16:16:00Z</dcterms:created>
  <dcterms:modified xsi:type="dcterms:W3CDTF">2021-03-12T16:47:00Z</dcterms:modified>
</cp:coreProperties>
</file>