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7" w:rsidRPr="00A87797" w:rsidRDefault="00A87797" w:rsidP="00A87797">
      <w:pPr>
        <w:jc w:val="center"/>
        <w:rPr>
          <w:rFonts w:ascii="Teko" w:eastAsia="Teko" w:hAnsi="Teko" w:cs="Teko"/>
          <w:b/>
          <w:sz w:val="40"/>
          <w:szCs w:val="40"/>
          <w:lang w:val="es-MX"/>
        </w:rPr>
      </w:pPr>
      <w:r w:rsidRPr="00A87797">
        <w:rPr>
          <w:rFonts w:ascii="Teko" w:eastAsia="Teko" w:hAnsi="Teko" w:cs="Teko"/>
          <w:b/>
          <w:sz w:val="40"/>
          <w:szCs w:val="40"/>
          <w:lang w:val="es-MX"/>
        </w:rPr>
        <w:t>Maestría</w:t>
      </w:r>
      <w:r w:rsidRPr="00A87797">
        <w:rPr>
          <w:rFonts w:ascii="Teko" w:eastAsia="Teko" w:hAnsi="Teko" w:cs="Teko"/>
          <w:b/>
          <w:sz w:val="40"/>
          <w:szCs w:val="40"/>
          <w:lang w:val="es-MX"/>
        </w:rPr>
        <w:t xml:space="preserve"> en Estudios Sociales Latinoamericanos</w:t>
      </w:r>
    </w:p>
    <w:p w:rsidR="00A87797" w:rsidRPr="00A87797" w:rsidRDefault="00A87797" w:rsidP="00A87797">
      <w:pPr>
        <w:jc w:val="center"/>
        <w:rPr>
          <w:rFonts w:ascii="Teko" w:eastAsia="Teko" w:hAnsi="Teko" w:cs="Teko"/>
          <w:b/>
          <w:sz w:val="40"/>
          <w:szCs w:val="40"/>
          <w:lang w:val="es-MX"/>
        </w:rPr>
      </w:pPr>
      <w:r w:rsidRPr="00A87797">
        <w:rPr>
          <w:rFonts w:ascii="Teko" w:eastAsia="Teko" w:hAnsi="Teko" w:cs="Teko"/>
          <w:b/>
          <w:sz w:val="40"/>
          <w:szCs w:val="40"/>
          <w:lang w:val="es-MX"/>
        </w:rPr>
        <w:t>Ciclo lectivo 2021</w:t>
      </w:r>
    </w:p>
    <w:p w:rsidR="00A87797" w:rsidRPr="00A87797" w:rsidRDefault="00A87797" w:rsidP="00A87797">
      <w:pPr>
        <w:pStyle w:val="NormalWeb"/>
        <w:spacing w:before="123" w:beforeAutospacing="0" w:after="0" w:afterAutospacing="0"/>
        <w:ind w:left="478" w:right="333"/>
        <w:jc w:val="center"/>
        <w:rPr>
          <w:b/>
          <w:lang w:val="es-MX"/>
        </w:rPr>
      </w:pPr>
      <w:r w:rsidRPr="00A87797">
        <w:rPr>
          <w:rFonts w:ascii="Cambria" w:hAnsi="Cambria"/>
          <w:b/>
          <w:bCs/>
          <w:lang w:val="es-MX"/>
        </w:rPr>
        <w:t>Estructura Social y Movimientos Sociales de América Latina (Siglos XX y XXI) </w:t>
      </w:r>
    </w:p>
    <w:p w:rsidR="00A87797" w:rsidRPr="00A87797" w:rsidRDefault="00A87797" w:rsidP="00A87797">
      <w:pPr>
        <w:jc w:val="center"/>
        <w:rPr>
          <w:rFonts w:ascii="Teko" w:eastAsia="Teko" w:hAnsi="Teko" w:cs="Teko"/>
          <w:b/>
          <w:sz w:val="40"/>
          <w:szCs w:val="40"/>
          <w:lang w:val="es-MX"/>
        </w:rPr>
      </w:pPr>
    </w:p>
    <w:p w:rsidR="00A87797" w:rsidRPr="00A87797" w:rsidRDefault="00A87797" w:rsidP="00A87797">
      <w:pPr>
        <w:spacing w:after="0" w:line="240" w:lineRule="auto"/>
        <w:jc w:val="both"/>
        <w:rPr>
          <w:rFonts w:asciiTheme="majorHAnsi" w:hAnsiTheme="majorHAnsi" w:cstheme="majorHAnsi"/>
          <w:b/>
          <w:lang w:val="es-MX"/>
        </w:rPr>
      </w:pPr>
      <w:r w:rsidRPr="00A87797">
        <w:rPr>
          <w:rFonts w:asciiTheme="majorHAnsi" w:hAnsiTheme="majorHAnsi" w:cstheme="majorHAnsi"/>
          <w:b/>
          <w:lang w:val="es-MX"/>
        </w:rPr>
        <w:t>Docente</w:t>
      </w:r>
    </w:p>
    <w:p w:rsidR="00A87797" w:rsidRDefault="00A87797" w:rsidP="00A87797">
      <w:pPr>
        <w:pStyle w:val="NormalWeb"/>
        <w:spacing w:before="123" w:beforeAutospacing="0" w:after="0" w:afterAutospacing="0"/>
        <w:ind w:right="2101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Bruno </w:t>
      </w:r>
      <w:proofErr w:type="spellStart"/>
      <w:r>
        <w:rPr>
          <w:rFonts w:asciiTheme="majorHAnsi" w:hAnsiTheme="majorHAnsi" w:cstheme="majorHAnsi"/>
          <w:b/>
          <w:lang w:val="es-MX"/>
        </w:rPr>
        <w:t>Fornillo</w:t>
      </w:r>
      <w:proofErr w:type="spellEnd"/>
      <w:r w:rsidRPr="00A87797">
        <w:rPr>
          <w:rFonts w:asciiTheme="majorHAnsi" w:hAnsiTheme="majorHAnsi" w:cstheme="majorHAnsi"/>
          <w:b/>
          <w:lang w:val="es-MX"/>
        </w:rPr>
        <w:tab/>
      </w:r>
      <w:r w:rsidRPr="00A87797">
        <w:rPr>
          <w:rFonts w:asciiTheme="majorHAnsi" w:hAnsiTheme="majorHAnsi" w:cstheme="majorHAnsi"/>
          <w:b/>
          <w:lang w:val="es-MX"/>
        </w:rPr>
        <w:tab/>
      </w:r>
      <w:r w:rsidRPr="00A87797">
        <w:rPr>
          <w:rFonts w:asciiTheme="majorHAnsi" w:hAnsiTheme="majorHAnsi" w:cstheme="majorHAnsi"/>
          <w:b/>
          <w:lang w:val="es-MX"/>
        </w:rPr>
        <w:tab/>
      </w:r>
      <w:r w:rsidRPr="00A87797">
        <w:rPr>
          <w:rFonts w:asciiTheme="majorHAnsi" w:hAnsiTheme="majorHAnsi" w:cstheme="majorHAnsi"/>
          <w:b/>
          <w:lang w:val="es-MX"/>
        </w:rPr>
        <w:tab/>
      </w:r>
    </w:p>
    <w:p w:rsidR="00A87797" w:rsidRDefault="00A87797" w:rsidP="00A87797">
      <w:pPr>
        <w:pStyle w:val="NormalWeb"/>
        <w:tabs>
          <w:tab w:val="left" w:pos="6663"/>
        </w:tabs>
        <w:spacing w:before="123" w:beforeAutospacing="0" w:after="0" w:afterAutospacing="0"/>
        <w:ind w:left="1440" w:right="2101" w:firstLine="720"/>
        <w:jc w:val="right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Investigador CONICET. Historiador UBA. </w:t>
      </w:r>
    </w:p>
    <w:p w:rsidR="00A87797" w:rsidRDefault="00A87797" w:rsidP="00A87797">
      <w:pPr>
        <w:pStyle w:val="NormalWeb"/>
        <w:spacing w:before="123" w:beforeAutospacing="0" w:after="0" w:afterAutospacing="0"/>
        <w:ind w:right="2101"/>
        <w:jc w:val="right"/>
        <w:rPr>
          <w:rFonts w:asciiTheme="majorHAnsi" w:hAnsiTheme="majorHAnsi" w:cstheme="majorHAnsi"/>
          <w:b/>
          <w:lang w:val="es-MX"/>
        </w:rPr>
      </w:pPr>
      <w:r>
        <w:rPr>
          <w:rFonts w:asciiTheme="majorHAnsi" w:hAnsiTheme="majorHAnsi" w:cstheme="majorHAnsi"/>
          <w:b/>
          <w:lang w:val="es-MX"/>
        </w:rPr>
        <w:t xml:space="preserve">Magister de la Cultura (UNSAM). Doctor en </w:t>
      </w:r>
    </w:p>
    <w:p w:rsidR="00A87797" w:rsidRPr="00A87797" w:rsidRDefault="00A87797" w:rsidP="00A87797">
      <w:pPr>
        <w:pStyle w:val="NormalWeb"/>
        <w:spacing w:before="123" w:beforeAutospacing="0" w:after="0" w:afterAutospacing="0"/>
        <w:ind w:right="2101"/>
        <w:jc w:val="right"/>
        <w:rPr>
          <w:lang w:val="es-MX"/>
        </w:rPr>
      </w:pPr>
      <w:r>
        <w:rPr>
          <w:rFonts w:asciiTheme="majorHAnsi" w:hAnsiTheme="majorHAnsi" w:cstheme="majorHAnsi"/>
          <w:b/>
          <w:lang w:val="es-MX"/>
        </w:rPr>
        <w:t>Ciencias Sociales (UBA – Paris 8)</w:t>
      </w:r>
    </w:p>
    <w:p w:rsidR="00A87797" w:rsidRDefault="00A87797" w:rsidP="00A87797">
      <w:pPr>
        <w:pStyle w:val="NormalWeb"/>
        <w:spacing w:before="1328" w:beforeAutospacing="0" w:after="0" w:afterAutospacing="0"/>
        <w:ind w:left="11" w:right="1197" w:firstLine="13"/>
        <w:jc w:val="both"/>
        <w:rPr>
          <w:rFonts w:ascii="Cambria" w:hAnsi="Cambria"/>
          <w:color w:val="000000"/>
          <w:lang w:val="es-MX"/>
        </w:rPr>
      </w:pPr>
    </w:p>
    <w:p w:rsidR="00476308" w:rsidRPr="000120DF" w:rsidRDefault="00476308" w:rsidP="000120DF">
      <w:pPr>
        <w:spacing w:after="0" w:line="240" w:lineRule="auto"/>
        <w:mirrorIndents/>
        <w:jc w:val="both"/>
        <w:rPr>
          <w:rFonts w:cstheme="minorHAnsi"/>
          <w:b/>
        </w:rPr>
      </w:pPr>
      <w:proofErr w:type="spellStart"/>
      <w:r w:rsidRPr="000120DF">
        <w:rPr>
          <w:rFonts w:cstheme="minorHAnsi"/>
          <w:b/>
        </w:rPr>
        <w:t>Fundamentación</w:t>
      </w:r>
      <w:proofErr w:type="spellEnd"/>
      <w:r w:rsidRPr="000120DF">
        <w:rPr>
          <w:rFonts w:cstheme="minorHAnsi"/>
          <w:b/>
        </w:rPr>
        <w:t xml:space="preserve"> </w:t>
      </w:r>
    </w:p>
    <w:p w:rsidR="00476308" w:rsidRPr="000120DF" w:rsidRDefault="00476308" w:rsidP="000120DF">
      <w:pPr>
        <w:spacing w:after="0" w:line="240" w:lineRule="auto"/>
        <w:mirrorIndents/>
        <w:jc w:val="both"/>
        <w:rPr>
          <w:rFonts w:cstheme="minorHAnsi"/>
          <w:b/>
        </w:rPr>
      </w:pPr>
    </w:p>
    <w:p w:rsidR="00A87797" w:rsidRPr="000120DF" w:rsidRDefault="00A87797" w:rsidP="000120DF">
      <w:pPr>
        <w:spacing w:after="0" w:line="240" w:lineRule="auto"/>
        <w:mirrorIndents/>
        <w:jc w:val="both"/>
        <w:rPr>
          <w:rFonts w:cstheme="minorHAnsi"/>
          <w:b/>
        </w:rPr>
      </w:pPr>
      <w:proofErr w:type="gramStart"/>
      <w:r w:rsidRPr="000120DF">
        <w:rPr>
          <w:rFonts w:cstheme="minorHAnsi"/>
          <w:color w:val="000000"/>
          <w:lang w:val="es-MX"/>
        </w:rPr>
        <w:t>El  seminario</w:t>
      </w:r>
      <w:proofErr w:type="gramEnd"/>
      <w:r w:rsidRPr="000120DF">
        <w:rPr>
          <w:rFonts w:cstheme="minorHAnsi"/>
          <w:color w:val="000000"/>
          <w:lang w:val="es-MX"/>
        </w:rPr>
        <w:t xml:space="preserve">  tiene  por  premisa  central  presentar  los  principales  lineamientos  para  el  estudio de la estructura social y los movimientos sociales de América Latina en los siglos  XX  y  XXI.  </w:t>
      </w:r>
      <w:proofErr w:type="gramStart"/>
      <w:r w:rsidRPr="000120DF">
        <w:rPr>
          <w:rFonts w:cstheme="minorHAnsi"/>
          <w:color w:val="000000"/>
          <w:lang w:val="es-MX"/>
        </w:rPr>
        <w:t>Asimismo,  contextualizar</w:t>
      </w:r>
      <w:proofErr w:type="gramEnd"/>
      <w:r w:rsidRPr="000120DF">
        <w:rPr>
          <w:rFonts w:cstheme="minorHAnsi"/>
          <w:color w:val="000000"/>
          <w:lang w:val="es-MX"/>
        </w:rPr>
        <w:t xml:space="preserve">  una  serie  de  perspectivas  teóricas,  enfoques  disciplinarios y problemáticas propias de los movimientos sociales latinoamericanos. </w:t>
      </w:r>
      <w:proofErr w:type="gramStart"/>
      <w:r w:rsidRPr="000120DF">
        <w:rPr>
          <w:rFonts w:cstheme="minorHAnsi"/>
          <w:color w:val="000000"/>
          <w:lang w:val="es-MX"/>
        </w:rPr>
        <w:t>En  el</w:t>
      </w:r>
      <w:proofErr w:type="gramEnd"/>
      <w:r w:rsidRPr="000120DF">
        <w:rPr>
          <w:rFonts w:cstheme="minorHAnsi"/>
          <w:color w:val="000000"/>
          <w:lang w:val="es-MX"/>
        </w:rPr>
        <w:t xml:space="preserve">  siglo  pasado,  los  movimientos  sociales  clásicos,  esto  es,  el  movimiento  obrero  y  el  campesino, incidieron  de manera  decisiva en la  vida  socio-histórica  de nuestra  región.  Sin embargo, los nuevos movimientos sociales pusieron en primer plano el accionar </w:t>
      </w:r>
      <w:proofErr w:type="gramStart"/>
      <w:r w:rsidRPr="000120DF">
        <w:rPr>
          <w:rFonts w:cstheme="minorHAnsi"/>
          <w:color w:val="000000"/>
          <w:lang w:val="es-MX"/>
        </w:rPr>
        <w:t>de  sujetos</w:t>
      </w:r>
      <w:proofErr w:type="gramEnd"/>
      <w:r w:rsidRPr="000120DF">
        <w:rPr>
          <w:rFonts w:cstheme="minorHAnsi"/>
          <w:color w:val="000000"/>
          <w:lang w:val="es-MX"/>
        </w:rPr>
        <w:t xml:space="preserve">, identidades  y prácticas emergentes que ganaron un protagonismo indiscutible  en  la  historia  reciente  latinoamericana.  </w:t>
      </w:r>
      <w:proofErr w:type="gramStart"/>
      <w:r w:rsidRPr="000120DF">
        <w:rPr>
          <w:rFonts w:cstheme="minorHAnsi"/>
          <w:color w:val="000000"/>
          <w:lang w:val="es-MX"/>
        </w:rPr>
        <w:t>Los  campesinos</w:t>
      </w:r>
      <w:proofErr w:type="gramEnd"/>
      <w:r w:rsidRPr="000120DF">
        <w:rPr>
          <w:rFonts w:cstheme="minorHAnsi"/>
          <w:color w:val="000000"/>
          <w:lang w:val="es-MX"/>
        </w:rPr>
        <w:t xml:space="preserve">  sin  tierra,  el  feminismo,  los  trabajadores desocupados, los pueblos originarios, constituyen apenas una enumeración  menor  del  abanico  amplio  de  estas  nuevas manifestaciones.  </w:t>
      </w:r>
      <w:proofErr w:type="gramStart"/>
      <w:r w:rsidRPr="000120DF">
        <w:rPr>
          <w:rFonts w:cstheme="minorHAnsi"/>
          <w:color w:val="000000"/>
          <w:lang w:val="es-MX"/>
        </w:rPr>
        <w:t>Indudablemente,  desde</w:t>
      </w:r>
      <w:proofErr w:type="gramEnd"/>
      <w:r w:rsidRPr="000120DF">
        <w:rPr>
          <w:rFonts w:cstheme="minorHAnsi"/>
          <w:color w:val="000000"/>
          <w:lang w:val="es-MX"/>
        </w:rPr>
        <w:t xml:space="preserve">  el  alzamiento  zapatista  en  el  año  1994,  las  últimas  décadas  han  contemplado  el  protagonismo  de  nuevas  estructuras  de  organización,  e  incluso  el  reverdecer  de  la  política originaria-indígena es una de las novedades políticas más salientes que surcaron  la  larga  columna  vertebral  andina.  </w:t>
      </w:r>
      <w:proofErr w:type="gramStart"/>
      <w:r w:rsidRPr="000120DF">
        <w:rPr>
          <w:rFonts w:cstheme="minorHAnsi"/>
          <w:color w:val="000000"/>
          <w:lang w:val="es-MX"/>
        </w:rPr>
        <w:t>En  este</w:t>
      </w:r>
      <w:proofErr w:type="gramEnd"/>
      <w:r w:rsidRPr="000120DF">
        <w:rPr>
          <w:rFonts w:cstheme="minorHAnsi"/>
          <w:color w:val="000000"/>
          <w:lang w:val="es-MX"/>
        </w:rPr>
        <w:t>  sentido,  a  la  hora  de  pensar nuestra  vida  política,  y  muy  especialmente  el  vital  papel  de  los  sectores  subalternos,  es  necesario  prestar atención a la problemática de los movimientos sociales.  </w:t>
      </w:r>
    </w:p>
    <w:p w:rsidR="00A87797" w:rsidRPr="000120DF" w:rsidRDefault="00A87797" w:rsidP="000120DF">
      <w:pPr>
        <w:pStyle w:val="NormalWeb"/>
        <w:tabs>
          <w:tab w:val="left" w:pos="7642"/>
        </w:tabs>
        <w:spacing w:before="0" w:beforeAutospacing="0" w:after="0" w:afterAutospacing="0"/>
        <w:ind w:hanging="1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A raíz de este paisaje, el objetivo general del seminario consiste en presentar de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manera  articulada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el  herramental  teórico  metodológico  que  aborda  los  movimientos,  las  variaciones ideológico-culturales que trajeron consigo y la realidad práctica y contextual  de su accionar. Fundamentalmente desde los años 60, porque estamos tratando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también  con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un  fenómeno global, la literatura teórico-metodológica sobre movimientos sociales  ha  crecido  de  manera  constante,  dando  cuenta  de  múltiples  abordajes.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Asimismo,  los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lastRenderedPageBreak/>
        <w:t xml:space="preserve">movimientos  sociales  son  una  manifestación  privilegiada  de  la  transformación  de  los  axiomas sobre los cuales pensamos la política y de los marcos ideológico-culturales que  rigen la sociedad. Por último, es preciso dar cuenta del andar concreto de sus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prácticas,  que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se han desenvuelto tanto en las calles como en las instituciones formales. Dentro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de  este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marco  general,  haremos  especial  hincapié  en  algunos  movimientos  y  países.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El  seminario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así, se encuentra interrelacionado  y articulado a partir de un diálogo  fluido  entre las diversas problemáticas, epistemologías y prácticas, con el objetivo final de que  pueda  elaborarse  una  mirada  integral  acerca  de  dilemas  y  perspectivas  claves  que  actualmente recorre América Latina. </w:t>
      </w:r>
    </w:p>
    <w:p w:rsidR="00897675" w:rsidRPr="000120DF" w:rsidRDefault="00897675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:rsidR="00A87797" w:rsidRDefault="00897675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Objetivos </w:t>
      </w:r>
    </w:p>
    <w:p w:rsidR="00236B8A" w:rsidRPr="000120DF" w:rsidRDefault="00236B8A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</w:p>
    <w:p w:rsidR="00897675" w:rsidRPr="000120DF" w:rsidRDefault="00897675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- Revisar </w:t>
      </w:r>
      <w:proofErr w:type="gram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las  características</w:t>
      </w:r>
      <w:proofErr w:type="gram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estructurales  de  las  s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ociedades  latinoamericanas,  lo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s  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movimientos sociales y las dinámicas de los conflictos sociales. </w:t>
      </w:r>
    </w:p>
    <w:p w:rsidR="007E71B6" w:rsidRPr="000120DF" w:rsidRDefault="007E71B6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-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Incorporar  las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líneas  maestras  de  los  enfoques </w:t>
      </w:r>
      <w:r w:rsidR="007E71B6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teórico-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metodológicos  centrales  que  abordan el accionar de los movimientos sociales. </w:t>
      </w:r>
    </w:p>
    <w:p w:rsidR="007E71B6" w:rsidRPr="000120DF" w:rsidRDefault="007E71B6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2"/>
        <w:mirrorIndents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-Dar cuenta de la dinámica histórica reciente de la acción colectiva de los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movimientos  sociales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en América Latina. </w:t>
      </w:r>
    </w:p>
    <w:p w:rsidR="007E71B6" w:rsidRPr="000120DF" w:rsidRDefault="007E71B6" w:rsidP="000120DF">
      <w:pPr>
        <w:pStyle w:val="NormalWeb"/>
        <w:spacing w:before="0" w:beforeAutospacing="0" w:after="0" w:afterAutospacing="0"/>
        <w:ind w:firstLine="2"/>
        <w:mirrorIndents/>
        <w:rPr>
          <w:rFonts w:asciiTheme="minorHAnsi" w:hAnsiTheme="minorHAnsi" w:cstheme="minorHAnsi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-Discutir los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lineamientos  básicos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de las  novedades  teórico-políticas  que  conllevan los  movimientos sociales latinoamericanos, así como sus intervenciones ideológico-políticas en el campo cultural. </w:t>
      </w:r>
    </w:p>
    <w:p w:rsidR="00236B8A" w:rsidRDefault="00236B8A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:rsidR="00A87797" w:rsidRDefault="000065BB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Unidades</w:t>
      </w:r>
    </w:p>
    <w:p w:rsidR="00236B8A" w:rsidRPr="000120DF" w:rsidRDefault="00236B8A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</w:p>
    <w:p w:rsidR="00A87797" w:rsidRPr="000120DF" w:rsidRDefault="000065BB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Unidad 1.</w:t>
      </w:r>
      <w:r w:rsidR="00A87797"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Abordar los movimientos sociales en América Latina </w:t>
      </w:r>
    </w:p>
    <w:p w:rsidR="00A87797" w:rsidRPr="000120DF" w:rsidRDefault="000065BB" w:rsidP="000120DF">
      <w:pPr>
        <w:pStyle w:val="NormalWeb"/>
        <w:spacing w:before="0" w:beforeAutospacing="0" w:after="0" w:afterAutospacing="0"/>
        <w:ind w:firstLine="13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c  Adam</w:t>
      </w:r>
      <w:proofErr w:type="gram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D.  </w:t>
      </w:r>
      <w:proofErr w:type="gram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Mc  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Carthy</w:t>
      </w:r>
      <w:proofErr w:type="spellEnd"/>
      <w:proofErr w:type="gram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J.  </w:t>
      </w:r>
      <w:proofErr w:type="gram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y  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</w:t>
      </w:r>
      <w:proofErr w:type="gram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.N.Zald</w:t>
      </w:r>
      <w:proofErr w:type="spell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(1999)  “Oportunidades,  estructuras  de  movilización y procesos 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enmarcadores</w:t>
      </w:r>
      <w:proofErr w:type="spell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: hacia una perspectiva sintética y comparada de  los movimientos  sociales”  en 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McAdam</w:t>
      </w:r>
      <w:proofErr w:type="spell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McCarthy  y  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Zald</w:t>
      </w:r>
      <w:proofErr w:type="spell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(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comp.</w:t>
      </w:r>
      <w:proofErr w:type="spell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) </w:t>
      </w:r>
      <w:proofErr w:type="gramStart"/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Movimientos  Sociales</w:t>
      </w:r>
      <w:proofErr w:type="gramEnd"/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:  perspectivas comparadas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Istmo, Madrid. </w:t>
      </w:r>
    </w:p>
    <w:p w:rsidR="000065BB" w:rsidRPr="000120DF" w:rsidRDefault="000065BB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Melucci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A.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(1994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),  "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Asumir  un  compromiso:  identidad  y  movilización  en  los  movimientos sociales" en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Zona –Abierta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número 69, Madrid. </w:t>
      </w:r>
    </w:p>
    <w:p w:rsidR="000065BB" w:rsidRPr="000120DF" w:rsidRDefault="000065BB" w:rsidP="000120DF">
      <w:pPr>
        <w:pStyle w:val="NormalWeb"/>
        <w:spacing w:before="0" w:beforeAutospacing="0" w:after="0" w:afterAutospacing="0"/>
        <w:ind w:firstLine="8"/>
        <w:mirrorIndents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8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Perez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Ledesma, M. (1994) “Cuando lleguen los días de la cólera (Movimientos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sociales,  teoría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 historia)” en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Zona abierta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número 69, Madrid. </w:t>
      </w:r>
    </w:p>
    <w:p w:rsidR="000065BB" w:rsidRPr="000120DF" w:rsidRDefault="000065BB" w:rsidP="000120DF">
      <w:pPr>
        <w:pStyle w:val="NormalWeb"/>
        <w:spacing w:before="0" w:beforeAutospacing="0" w:after="0" w:afterAutospacing="0"/>
        <w:ind w:firstLine="8"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8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Sousa  Santos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Boaventura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de  (2001) “Los  nuevos  movimientos  sociales”,  en 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OSAL. 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Revista  del</w:t>
      </w:r>
      <w:proofErr w:type="gramEnd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  Observatorio  Social  de  América  Latina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Buenos  Aires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:  CLACSO,  No.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5,  septiembre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pp. 177-184. </w:t>
      </w:r>
    </w:p>
    <w:p w:rsidR="00236B8A" w:rsidRDefault="00236B8A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:rsidR="00A87797" w:rsidRPr="000120DF" w:rsidRDefault="000065BB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Unidad 2. </w:t>
      </w:r>
      <w:r w:rsidR="00A87797"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Estructura social y movimientos sociales en clave histórica </w:t>
      </w:r>
    </w:p>
    <w:p w:rsidR="00A87797" w:rsidRPr="000120DF" w:rsidRDefault="000065BB" w:rsidP="000120DF">
      <w:pPr>
        <w:pStyle w:val="NormalWeb"/>
        <w:spacing w:before="0" w:beforeAutospacing="0" w:after="0" w:afterAutospacing="0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Ansaldi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Waldo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</w:t>
      </w:r>
      <w:proofErr w:type="gram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Giordano,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V.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(2012)  </w:t>
      </w:r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América  Latina.  </w:t>
      </w:r>
      <w:proofErr w:type="gramStart"/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La  construcción</w:t>
      </w:r>
      <w:proofErr w:type="gramEnd"/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  del  orden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  </w:t>
      </w:r>
      <w:proofErr w:type="gram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Buenos  Aires</w:t>
      </w:r>
      <w:proofErr w:type="gram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: Ariel. </w:t>
      </w:r>
      <w:r w:rsidRPr="000120DF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CEPAL  </w:t>
      </w:r>
      <w:proofErr w:type="gram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1963  </w:t>
      </w:r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El</w:t>
      </w:r>
      <w:proofErr w:type="gramEnd"/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  desarrollo  social  de  América  Latina  en  la  posguerra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  </w:t>
      </w:r>
      <w:proofErr w:type="gram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Buenos  Aires</w:t>
      </w:r>
      <w:proofErr w:type="gram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:  Solar/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Hachette</w:t>
      </w:r>
      <w:proofErr w:type="spell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23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lastRenderedPageBreak/>
        <w:t>Elkisch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M. (2005) “El MST: continuidad y ruptura en la lucha por la tierra en Brasil”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en 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Argumentos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UAM, México.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8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Graciarena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J. y Franco, R. (1981)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Formaciones sociales y estructuras de poder en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América  Latina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. Madrid: Centro de Investigaciones Sociológicas.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Le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Bot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Y. (1997) “Subcomandante Marcos (entrevista)” en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El Sueño Zapatista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mimeo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. 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8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Stavenhagen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R.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(1965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)  “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Siete  tesis  equivocadas  sobre  América  Latina”,  en 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América  Latina,  ensayos  de  interpretación  sociológico-política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Santiago  de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Chile:  Editorial  Universitaria.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Zavaleta Mercado, R. (1987) “Las masas en noviembre” en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val="es-MX"/>
        </w:rPr>
        <w:t>Bolivia hoy</w:t>
      </w:r>
      <w:r w:rsidRPr="000120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>, Siglo XXI, México.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Zibechi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R. (2003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)  “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Los movimientos sociales latinoamericanos:  tendencias y desafíos”  en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OSAL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Número 9, Buenos Aires. </w:t>
      </w:r>
    </w:p>
    <w:p w:rsidR="00236B8A" w:rsidRDefault="00236B8A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:rsidR="00A87797" w:rsidRPr="000120DF" w:rsidRDefault="000065BB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Unidad 3.</w:t>
      </w:r>
      <w:r w:rsidR="00A87797"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Cambio social y acción colectiva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5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Fornillo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B.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(2010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)  “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Intelectuales  y  política  en  la  era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katarista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”  en  M.  </w:t>
      </w: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Svampa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P.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</w:t>
      </w: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Stefanoni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y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B.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Fornillo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Debatir  Bolivia</w:t>
      </w:r>
      <w:proofErr w:type="gramEnd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. 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Perspectivas  de</w:t>
      </w:r>
      <w:proofErr w:type="gramEnd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  un  proyecto  de  descolonización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Taurus, Argentina.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3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García  Linera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A  (2001)  “Sindicato,  multitud  y  comunidad.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Movimientos  sociales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y  formas  de  autonomía  política  en  Bolivia”,  en  Grupo  Comuna,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Tiempos  de  rebelión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La  muela del Diablo, La Paz.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13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Ramírez Gallegos, F. (2009) “El movimiento indígena y la reconstrucción de la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izquierda  en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Ecuador. El caso del Movimiento de Unidad Plurinacional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Pachakutik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- Nuevo País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”,  en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Pablo Ospina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et al 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(ed.)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Los Andes en movimiento. Identidad y poder en el nuevo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paisaje  político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Corporacion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Editoria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Nacional, Quito.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hanging="1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Svampa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M. (2005)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La sociedad excluyente. La Argentina bajo el signo del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neoliberalismo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Cap.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7, “Crisis estructural y nuevas formas de resistencia”, Taurus, Buenos Aires.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12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Torres  Rivas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E.  (2004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)  “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Centroamérica.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Revoluciones  sin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cambio  revolucionario”  en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Ansaldi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W.  (coord.) 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Calidoscopio  latinoamericano</w:t>
      </w:r>
      <w:proofErr w:type="gramEnd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. 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Imágenes  históricas</w:t>
      </w:r>
      <w:proofErr w:type="gramEnd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  para  un  debate  vigente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Ariel, Buenos Aires. </w:t>
      </w:r>
    </w:p>
    <w:p w:rsidR="00236B8A" w:rsidRDefault="00236B8A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Unidad 4</w:t>
      </w:r>
      <w:r w:rsidR="00390661"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.</w:t>
      </w:r>
      <w:r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 xml:space="preserve"> Estado, movimientos sociales y nuevas problemáticas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Benielli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L. (2014) “Los años de Lula: trabajadores y movimientos sociales en la </w:t>
      </w:r>
      <w:proofErr w:type="gramStart"/>
      <w:r w:rsidR="00390661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h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istoria  reciente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de  Brasil</w:t>
      </w:r>
      <w:r w:rsidRPr="000120D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MX"/>
        </w:rPr>
        <w:t xml:space="preserve">”  en  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Alejandro  Schneider  (Comp.) 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América  Latina</w:t>
      </w:r>
      <w:proofErr w:type="gramEnd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  hoy. 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Integración,  procesos</w:t>
      </w:r>
      <w:proofErr w:type="gramEnd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políticos y conflictividad en su historia reciente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Ediciones Imago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Mundi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Buenos  Aires.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8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“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Entrevista  a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Joao  Pedro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Stedil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//  MST  (Movimiento  Sin  Tierras)  – Brasil”  (2017)  en 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Lobo Suelto  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(www.lobosuelto.com) </w:t>
      </w:r>
    </w:p>
    <w:p w:rsidR="00390661" w:rsidRPr="000120DF" w:rsidRDefault="00390661" w:rsidP="000120DF">
      <w:pPr>
        <w:pStyle w:val="NormalWeb"/>
        <w:spacing w:before="0" w:beforeAutospacing="0" w:after="0" w:afterAutospacing="0"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A87797" w:rsidRPr="000120DF" w:rsidRDefault="00390661" w:rsidP="000120DF">
      <w:pPr>
        <w:pStyle w:val="NormalWeb"/>
        <w:spacing w:before="0" w:beforeAutospacing="0" w:after="0" w:afterAutospacing="0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Harvey, 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D. (2004) “</w:t>
      </w:r>
      <w:proofErr w:type="gram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El  nuevo</w:t>
      </w:r>
      <w:proofErr w:type="gram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imperialismo:  acumulación  por  desposesión”  en  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Panitch</w:t>
      </w:r>
      <w:proofErr w:type="spell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Leo, 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Leys</w:t>
      </w:r>
      <w:proofErr w:type="spell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</w:t>
      </w:r>
      <w:proofErr w:type="spell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Colin</w:t>
      </w:r>
      <w:proofErr w:type="spell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proofErr w:type="spellStart"/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Socialist</w:t>
      </w:r>
      <w:proofErr w:type="spellEnd"/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</w:t>
      </w:r>
      <w:proofErr w:type="spellStart"/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Register</w:t>
      </w:r>
      <w:proofErr w:type="spellEnd"/>
      <w:r w:rsidR="00A87797"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El nuevo desafío imperial 2004</w:t>
      </w:r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 Buenos Aires: </w:t>
      </w:r>
      <w:proofErr w:type="gramStart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CLACSO  pp.</w:t>
      </w:r>
      <w:proofErr w:type="gramEnd"/>
      <w:r w:rsidR="00A87797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99-129.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hanging="8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</w:rPr>
        <w:t>Stefanoni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</w:rPr>
        <w:t>,  Pablo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</w:rPr>
        <w:t>  (2017)  “¿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</w:rPr>
        <w:t>Evo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</w:rPr>
        <w:t>for  ever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</w:rPr>
        <w:t xml:space="preserve">?”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en  Nueva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Sociedad  (http://nuso.org/articulo/evo-ever/)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Svampa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M.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(2012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)  “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Consenso  de  los  </w:t>
      </w:r>
      <w:proofErr w:type="spell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commodities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giro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ecoterritorial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y  pensamiento  crítico en América Latina” en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OSAL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CLACSO, Argentina. </w:t>
      </w:r>
    </w:p>
    <w:p w:rsidR="009F3A18" w:rsidRPr="000120DF" w:rsidRDefault="009F3A18" w:rsidP="000120DF">
      <w:pPr>
        <w:pStyle w:val="NormalWeb"/>
        <w:spacing w:before="0" w:beforeAutospacing="0" w:after="0" w:afterAutospacing="0"/>
        <w:ind w:firstLine="5"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9F3A18" w:rsidRPr="000120DF" w:rsidRDefault="009F3A18" w:rsidP="000120DF">
      <w:pPr>
        <w:spacing w:after="0" w:line="240" w:lineRule="auto"/>
        <w:mirrorIndents/>
        <w:jc w:val="both"/>
        <w:rPr>
          <w:rFonts w:cstheme="minorHAnsi"/>
          <w:b/>
          <w:lang w:val="es-MX"/>
        </w:rPr>
      </w:pPr>
      <w:r w:rsidRPr="000120DF">
        <w:rPr>
          <w:rFonts w:cstheme="minorHAnsi"/>
          <w:b/>
          <w:lang w:val="es-MX"/>
        </w:rPr>
        <w:t>Metodología de cursada y evaluación</w:t>
      </w:r>
    </w:p>
    <w:p w:rsidR="00236B8A" w:rsidRDefault="00236B8A" w:rsidP="000120DF">
      <w:pPr>
        <w:pStyle w:val="NormalWeb"/>
        <w:spacing w:before="0" w:beforeAutospacing="0" w:after="0" w:afterAutospacing="0"/>
        <w:ind w:firstLine="5"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5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Nos  regiremos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por   la modalidad  de  “laboratorio”,  en la medida  en  que  se  elaboraran  instancias de trabajo que puedan desplegarse en la misma cursada. El recurso central </w:t>
      </w:r>
      <w:r w:rsidR="00390661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de </w:t>
      </w:r>
      <w:proofErr w:type="gramStart"/>
      <w:r w:rsidR="00390661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evaluación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consiste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en  la  realización  de  una  reseña  crítica  de  un  escrito  que  resulta  central para alguna de las problemáticas abordadas -o para más de una de ellas-, la cual  se  será  realizada  al  compás  del  dictado  de  la  materia.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lastRenderedPageBreak/>
        <w:t>Asimismo,  se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espera  que  la  realización  de  la  reseña  represente  una  ocasión  para  presentarla  en  una  actividad  o  publicación académica. Se propondrá entonces la elección de uno de los siguientes libros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para la confección de una reseña crítica: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8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Garcia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Linera,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Alvaro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;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Gutierrez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Raquel; Prada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Raul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Luis Tapia (2000)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El retorno de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la  Bolivia</w:t>
      </w:r>
      <w:proofErr w:type="gramEnd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 plebeya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Muela del Diablo, La Paz, Bolivia. 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13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Giraldo  Omar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Felipe  (2018) 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Ecología  Política  de  la  Agricultura.  </w:t>
      </w:r>
      <w:proofErr w:type="gram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Agroecología  y</w:t>
      </w:r>
      <w:proofErr w:type="gramEnd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 xml:space="preserve">  </w:t>
      </w:r>
      <w:proofErr w:type="spellStart"/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posdesarrollo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Colegio de la Frontera Sur, México.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3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Grupo  de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Trabajo  Permanente  sobre  Alternativas  al  Desarrollo  (GTPAD)  (2011) 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Más  allá  del  desarrollo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Universidad  Politécnica  Salesiana,  Fundación  Rosa  Luxemburgo,  Ecuador. </w:t>
      </w:r>
    </w:p>
    <w:p w:rsidR="00236B8A" w:rsidRDefault="00236B8A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  <w:t>Normas para la presentación de reseña bibliográfica </w:t>
      </w:r>
    </w:p>
    <w:p w:rsidR="00236B8A" w:rsidRDefault="00236B8A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3"/>
        <w:mirrorIndents/>
        <w:rPr>
          <w:rFonts w:asciiTheme="minorHAnsi" w:hAnsiTheme="minorHAnsi" w:cstheme="minorHAnsi"/>
          <w:sz w:val="22"/>
          <w:szCs w:val="22"/>
          <w:lang w:val="es-MX"/>
        </w:rPr>
      </w:pPr>
      <w:bookmarkStart w:id="0" w:name="_GoBack"/>
      <w:bookmarkEnd w:id="0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En  la  presentación  de  sus  trabajos  escritos,  los  estudiantes  deberán  observar  las  siguientes normas: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20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1)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Los  trabajos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deben  ser  presentados  en  soporte  digital,  escritos  conforme  las  siguientes normas: papel tamaño A4, márgenes superior e inferior de 2 cm. y derecho e  izquierdo de 2,5 cm; espacio (sencillo), tamaño A4, letras Arial 11 o Times New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Roman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o  Garamond 12. Las notas al pie y la bibliografía final (que se indicará en todos los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casos,  en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una hoja suplementaria), en uno u otro de dichos  tipos de letra, en  tamaño 10.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Los  trabajos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serán entregados impresos en el encuentro último  y enviados al profesor por  vía  electrónica.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Los  archivos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con los  trabajos  deberán  ser  enviados  “Guardados  como”  APELLIDO  del  autor/a  y  título  del  libro  reseñado.  (Ejemplo: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GARCÍA,  Debates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latinoamericanos).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2) En la reseña no deberán superarse las seis (6) páginas. 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5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3) El escrito deberá llevar una portada con indicación de: asignatura, nombre y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apellido  del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estudiante, fecha de presentación.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5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4)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En  las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citas  se  procederá  de  la  siguiente  manera:  a)  deberán  ser  numeradas  correlativamente; b) podrán colocarse al pie de la página correspondiente o al final del  texto  (sólo  de  una  u  otra  forma);  c)  las  referencias  bibliográficas  podrán  consignarse  siguiendo  uno  (y  sólo  uno)  de  los  procedimientos  usuales -el  sistema  cita-nota  o  el  sistema autor-fecha-, tal como se indica a continuación.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8"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5) En caso de optarse por el sistema cita-nota, procurando no omitir datos, se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observará  el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siguiente  orden, en el  caso  de libros: a)  nombre  y apellido  del autor;  b)  título  de la  obra, con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subtítulo incorporado, en cursiva, o itálica; c) editorial o institución editora;  d) lugar (si no consta el lugar, se indica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s.l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,) y fecha (si no consta la fecha, se pone s.d., o  s.f.)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de  publicación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; e)  volumen,  tomo, etc.,  si lo  hubiera;  f)  número  de  página(s)  de la  cita. Si se trata de un artículo de revista, diario, periódico o de uno incluido en un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libro  colectivo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el título de tal artículo irá entre comillas, subrayándose (o empleando negrita  o itálica) la obra o la publicación en que fue publicado; en este caso, tras el nombre de la  revista se indicará el tomo, volumen o año y luego el número.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</w:rPr>
        <w:t>Ejemplos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</w:rPr>
        <w:t>: 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4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a.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Maria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Helena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Capelato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y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Maria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Ligia Prado: O bravo matutino. (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Imprensa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 </w:t>
      </w: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ideologia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no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jornal O Estado de S. Paulo), Editora Alfa-Omega,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Sâo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Paulo, 1980, pág. 89.  b. Silvia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Palomeque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: "Ecuador en el siglo XIX: movimientos de la población en la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región  de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Cuenca",  en Siglo  XIX.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Revista  de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Historia, Año  IV, N1  7, Monterrey,  enero-junio  de  1989, pp. 137- 138.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2"/>
        <w:mirrorIndents/>
        <w:rPr>
          <w:rFonts w:asciiTheme="minorHAnsi" w:hAnsiTheme="minorHAnsi" w:cstheme="minorHAnsi"/>
          <w:sz w:val="22"/>
          <w:szCs w:val="22"/>
          <w:lang w:val="es-MX"/>
        </w:rPr>
      </w:pP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Hay  quienes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prefieren  poner,  después  del  título  (b),  el  lugar  de  edición  (c)  y  luego  la  editorial</w:t>
      </w:r>
      <w:r w:rsidR="009F3A18"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(e). Por ejemplo: Boris Fausto, Brasil, de colonia a democracia, Madrid, Alianza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editorial,  1995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5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6) En caso de optarse por el sistema autor-fecha,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incluyendo  todos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los datos indicados  en  5),  se  procederá  de  la  siguiente  manera:  en  el  texto,  la  referencia  se  hará  con  i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lastRenderedPageBreak/>
        <w:t>ndicación del apellido del autor, coma, año de edición, dos puntos, número de página.  Ejemplo: (Carrera Damas, 1986: 21).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La bibliografía final se construirá según el siguiente ejemplo: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Carrera Damas,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Germán  (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1986): Venezuela: proyecto nacional  y poder  social, Editorial  Crítica, Barcelona.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8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7)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En  todos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los casos, se incluirá, al  final del  trabajo, la bibliografía utilizada, ordenada  alfabéticamente y colocando primero el apellido y luego el/los nombre(s), completo(s).  En los casos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de  ser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varios  (tres  o más) los autores de un libro, capítulo  o artículo,  sus  nombres se indicarán en el  orden en el que aparecen en la publicación  (no siempre el  orden  es  alfabético),  separados  por  punto  y  coma  (;)  y  el  último  precedido  por  la  conjunción copulativa y. 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Ejemplos:  </w:t>
      </w: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Ansaldi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Waldo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;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Pucciarelli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Alfredo  R.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y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Villarruel</w:t>
      </w:r>
      <w:proofErr w:type="spellEnd"/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José  C.  (editores):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Representaciones  inconclusas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Las  clases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los  actores  y  los  discursos  de  la  memoria,  1912-1946, Editorial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Biblos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 Buenos Aires, 1995.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proofErr w:type="spellStart"/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Jaguaribe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Helio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;  Iglesias,  Francisco;  Santos,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Wanderley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Guiherme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;  Chacos,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Vamirch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y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Comparato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Fabio:  Brasil,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sociedade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democrática,  José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Olimpio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J.O.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Editora,  Rio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de  Janeiro, 1985.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11"/>
        <w:mirrorIndents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En los casos de ser cuatro o más los autores, suele apelarse a esta forma: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Jaguaribe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Helio y otros: Brasil..., o bien: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Jaguaribe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 Helio </w:t>
      </w:r>
      <w:r w:rsidRPr="000120DF">
        <w:rPr>
          <w:rFonts w:asciiTheme="minorHAnsi" w:hAnsiTheme="minorHAnsi" w:cstheme="minorHAnsi"/>
          <w:i/>
          <w:iCs/>
          <w:color w:val="000000"/>
          <w:sz w:val="22"/>
          <w:szCs w:val="22"/>
          <w:lang w:val="es-MX"/>
        </w:rPr>
        <w:t>et al</w:t>
      </w: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. </w:t>
      </w:r>
    </w:p>
    <w:p w:rsidR="00A87797" w:rsidRPr="000120DF" w:rsidRDefault="00A87797" w:rsidP="000120DF">
      <w:pPr>
        <w:pStyle w:val="NormalWeb"/>
        <w:spacing w:before="0" w:beforeAutospacing="0" w:after="0" w:afterAutospacing="0"/>
        <w:ind w:firstLine="12"/>
        <w:mirrorIndent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8) Para una completa guía de las normas de citado de documentos, artículos, libros,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tesis,  diarios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revistas  y  demás  textos  en  soporte  papel,  como  también  las  publicadas  en  soporte  digital  se  recomienda  consultar: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Kolesas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Mabel;  De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Volder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,  Carolina.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La  cita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documental. Elementos y ejemplos de referencias en los estilos de la MLA y de la APA.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Documentos  electrónicos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  ISO  690-2.  [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en  línea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].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Buenos  Aires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:  Instituto  de  Investigaciones  Gino  </w:t>
      </w:r>
      <w:proofErr w:type="spell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Germani</w:t>
      </w:r>
      <w:proofErr w:type="spell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,  Facultad  de  Ciencias  Sociales,  Universidad  de  Buenos  Aires,  2008  [Citado  00-00-00].  (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IIGG  Documentos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  del  CDI,  1).  </w:t>
      </w:r>
      <w:proofErr w:type="gramStart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Disponible  en</w:t>
      </w:r>
      <w:proofErr w:type="gramEnd"/>
      <w:r w:rsidRPr="000120DF">
        <w:rPr>
          <w:rFonts w:asciiTheme="minorHAnsi" w:hAnsiTheme="minorHAnsi" w:cstheme="minorHAnsi"/>
          <w:color w:val="000000"/>
          <w:sz w:val="22"/>
          <w:szCs w:val="22"/>
          <w:lang w:val="es-MX"/>
        </w:rPr>
        <w:t>:  &lt;  http://iigg.sociales.uba.ar/documentos-del-cdi/ &gt;</w:t>
      </w:r>
    </w:p>
    <w:p w:rsidR="00B42F17" w:rsidRPr="000120DF" w:rsidRDefault="00B42F17" w:rsidP="000120DF">
      <w:pPr>
        <w:spacing w:after="0" w:line="240" w:lineRule="auto"/>
        <w:mirrorIndents/>
        <w:jc w:val="both"/>
        <w:rPr>
          <w:rFonts w:cstheme="minorHAnsi"/>
          <w:lang w:val="es-MX"/>
        </w:rPr>
      </w:pPr>
    </w:p>
    <w:sectPr w:rsidR="00B42F17" w:rsidRPr="000120DF" w:rsidSect="00897675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7"/>
    <w:rsid w:val="000065BB"/>
    <w:rsid w:val="000120DF"/>
    <w:rsid w:val="00236B8A"/>
    <w:rsid w:val="00390661"/>
    <w:rsid w:val="00476308"/>
    <w:rsid w:val="007E71B6"/>
    <w:rsid w:val="00897675"/>
    <w:rsid w:val="009F3A18"/>
    <w:rsid w:val="00A87797"/>
    <w:rsid w:val="00B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35E4"/>
  <w15:chartTrackingRefBased/>
  <w15:docId w15:val="{BA640EFC-19F3-4604-9574-0A767946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A87797"/>
    <w:rPr>
      <w:rFonts w:ascii="Calibri" w:eastAsia="Calibri" w:hAnsi="Calibri" w:cs="Calibri"/>
      <w:lang w:val="es-AR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2020-10-14T23:18:00Z</dcterms:created>
  <dcterms:modified xsi:type="dcterms:W3CDTF">2020-10-14T23:40:00Z</dcterms:modified>
</cp:coreProperties>
</file>