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9E" w:rsidRDefault="001A5117">
      <w:pPr>
        <w:jc w:val="center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>Maestr</w:t>
      </w:r>
      <w:r w:rsidR="007278A9">
        <w:rPr>
          <w:rFonts w:ascii="Teko" w:eastAsia="Teko" w:hAnsi="Teko" w:cs="Teko"/>
          <w:b/>
          <w:sz w:val="40"/>
          <w:szCs w:val="40"/>
        </w:rPr>
        <w:t xml:space="preserve">ía en </w:t>
      </w:r>
      <w:r w:rsidR="00AF7884">
        <w:rPr>
          <w:rFonts w:ascii="Teko" w:eastAsia="Teko" w:hAnsi="Teko" w:cs="Teko"/>
          <w:b/>
          <w:sz w:val="40"/>
          <w:szCs w:val="40"/>
        </w:rPr>
        <w:t xml:space="preserve">Gobierno </w:t>
      </w:r>
      <w:r w:rsidR="007278A9">
        <w:rPr>
          <w:rFonts w:ascii="Teko" w:eastAsia="Teko" w:hAnsi="Teko" w:cs="Teko"/>
          <w:b/>
          <w:sz w:val="40"/>
          <w:szCs w:val="40"/>
        </w:rPr>
        <w:t>– Ciclo lectivo 2021</w:t>
      </w:r>
    </w:p>
    <w:p w:rsidR="00F2149E" w:rsidRDefault="00AF7884">
      <w:pPr>
        <w:jc w:val="center"/>
        <w:rPr>
          <w:b/>
          <w:sz w:val="28"/>
          <w:szCs w:val="28"/>
        </w:rPr>
      </w:pPr>
      <w:r>
        <w:rPr>
          <w:rFonts w:ascii="Teko" w:eastAsia="Teko" w:hAnsi="Teko" w:cs="Teko"/>
          <w:b/>
          <w:sz w:val="52"/>
          <w:szCs w:val="52"/>
        </w:rPr>
        <w:t xml:space="preserve">Metodología del </w:t>
      </w:r>
      <w:r w:rsidR="00215F91">
        <w:rPr>
          <w:rFonts w:ascii="Teko" w:eastAsia="Teko" w:hAnsi="Teko" w:cs="Teko"/>
          <w:b/>
          <w:sz w:val="52"/>
          <w:szCs w:val="52"/>
        </w:rPr>
        <w:t>a</w:t>
      </w:r>
      <w:bookmarkStart w:id="0" w:name="_GoBack"/>
      <w:bookmarkEnd w:id="0"/>
      <w:r>
        <w:rPr>
          <w:rFonts w:ascii="Teko" w:eastAsia="Teko" w:hAnsi="Teko" w:cs="Teko"/>
          <w:b/>
          <w:sz w:val="52"/>
          <w:szCs w:val="52"/>
        </w:rPr>
        <w:t>nálisis político</w:t>
      </w:r>
    </w:p>
    <w:p w:rsidR="00F2149E" w:rsidRDefault="00F2149E">
      <w:pPr>
        <w:jc w:val="both"/>
        <w:rPr>
          <w:b/>
          <w:sz w:val="28"/>
          <w:szCs w:val="28"/>
        </w:rPr>
      </w:pPr>
    </w:p>
    <w:p w:rsidR="00F2149E" w:rsidRDefault="00F2149E">
      <w:pPr>
        <w:jc w:val="both"/>
        <w:rPr>
          <w:b/>
          <w:sz w:val="28"/>
          <w:szCs w:val="28"/>
        </w:rPr>
        <w:sectPr w:rsidR="00F2149E">
          <w:headerReference w:type="default" r:id="rId8"/>
          <w:pgSz w:w="11906" w:h="16838"/>
          <w:pgMar w:top="1985" w:right="1701" w:bottom="1417" w:left="1701" w:header="568" w:footer="708" w:gutter="0"/>
          <w:pgNumType w:start="1"/>
          <w:cols w:space="720" w:equalWidth="0">
            <w:col w:w="8838"/>
          </w:cols>
        </w:sectPr>
      </w:pPr>
    </w:p>
    <w:p w:rsidR="00F2149E" w:rsidRDefault="00AF788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Docentes</w:t>
      </w:r>
    </w:p>
    <w:p w:rsidR="00F2149E" w:rsidRDefault="00F2149E">
      <w:pPr>
        <w:jc w:val="both"/>
        <w:rPr>
          <w:b/>
          <w:sz w:val="24"/>
          <w:szCs w:val="24"/>
        </w:rPr>
        <w:sectPr w:rsidR="00F2149E">
          <w:type w:val="continuous"/>
          <w:pgSz w:w="11906" w:h="16838"/>
          <w:pgMar w:top="1523" w:right="1701" w:bottom="1417" w:left="1701" w:header="568" w:footer="708" w:gutter="0"/>
          <w:cols w:space="720" w:equalWidth="0">
            <w:col w:w="8838"/>
          </w:cols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F7884" w:rsidTr="00103915">
        <w:tc>
          <w:tcPr>
            <w:tcW w:w="4322" w:type="dxa"/>
          </w:tcPr>
          <w:p w:rsidR="00AF7884" w:rsidRPr="00AF7884" w:rsidRDefault="00AF7884" w:rsidP="00AF7884">
            <w:pPr>
              <w:spacing w:after="160"/>
              <w:jc w:val="both"/>
              <w:rPr>
                <w:b/>
                <w:sz w:val="24"/>
                <w:szCs w:val="24"/>
              </w:rPr>
            </w:pPr>
            <w:r w:rsidRPr="00AF7884">
              <w:rPr>
                <w:b/>
                <w:sz w:val="24"/>
                <w:szCs w:val="24"/>
              </w:rPr>
              <w:lastRenderedPageBreak/>
              <w:t xml:space="preserve">Nélida </w:t>
            </w:r>
            <w:proofErr w:type="spellStart"/>
            <w:r w:rsidRPr="00AF7884">
              <w:rPr>
                <w:b/>
                <w:sz w:val="24"/>
                <w:szCs w:val="24"/>
              </w:rPr>
              <w:t>Archenti</w:t>
            </w:r>
            <w:proofErr w:type="spellEnd"/>
          </w:p>
        </w:tc>
        <w:tc>
          <w:tcPr>
            <w:tcW w:w="4322" w:type="dxa"/>
          </w:tcPr>
          <w:p w:rsidR="00AF7884" w:rsidRPr="009574B7" w:rsidRDefault="00E63FFB" w:rsidP="007451F9">
            <w:pPr>
              <w:spacing w:after="120"/>
              <w:jc w:val="both"/>
              <w:rPr>
                <w:sz w:val="28"/>
                <w:szCs w:val="28"/>
              </w:rPr>
            </w:pPr>
            <w:r>
              <w:t>Doctora en Ciencias Sociales y Licenciada en Sociología (Universidad de Buenos Aires). Posgraduada en Sociología y Metodología de la Investigación Social (Fundación Bariloche, Argentina). Es Profesora Titular Consulta en la Facultad de Ciencias Sociales de la Universidad de Buenos Aires así como Investigadora en el Instituto d</w:t>
            </w:r>
            <w:r w:rsidR="007451F9">
              <w:t xml:space="preserve">e Investigaciones Gino </w:t>
            </w:r>
            <w:proofErr w:type="spellStart"/>
            <w:r w:rsidR="007451F9">
              <w:t>Germani</w:t>
            </w:r>
            <w:proofErr w:type="spellEnd"/>
            <w:r w:rsidR="007451F9">
              <w:t>.</w:t>
            </w:r>
          </w:p>
        </w:tc>
      </w:tr>
      <w:tr w:rsidR="00AF7884" w:rsidTr="00103915">
        <w:tc>
          <w:tcPr>
            <w:tcW w:w="4322" w:type="dxa"/>
          </w:tcPr>
          <w:p w:rsidR="00AF7884" w:rsidRPr="00AF7884" w:rsidRDefault="00AF7884" w:rsidP="00AF7884">
            <w:pPr>
              <w:spacing w:after="160"/>
              <w:jc w:val="both"/>
              <w:rPr>
                <w:b/>
                <w:sz w:val="24"/>
                <w:szCs w:val="24"/>
              </w:rPr>
            </w:pPr>
            <w:r w:rsidRPr="00AF7884">
              <w:rPr>
                <w:b/>
                <w:sz w:val="24"/>
                <w:szCs w:val="24"/>
              </w:rPr>
              <w:t>Guido Moscoso</w:t>
            </w:r>
          </w:p>
        </w:tc>
        <w:tc>
          <w:tcPr>
            <w:tcW w:w="4322" w:type="dxa"/>
          </w:tcPr>
          <w:p w:rsidR="00AF7884" w:rsidRDefault="00AF7884" w:rsidP="007451F9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DA4B4C">
              <w:rPr>
                <w:rFonts w:cstheme="minorHAnsi"/>
              </w:rPr>
              <w:t xml:space="preserve">Licenciado en Ciencia Política (UBA) y Magíster en Investigación en Ciencias Sociales (UBA). Actualmente cursando el Doctorado en Ciencia Política (UTDT). Es </w:t>
            </w:r>
            <w:r w:rsidR="00D018FF">
              <w:rPr>
                <w:rFonts w:cstheme="minorHAnsi"/>
              </w:rPr>
              <w:t xml:space="preserve">Profesor Adjunto en el “Taller de Opinión Pública”, </w:t>
            </w:r>
            <w:r w:rsidRPr="00DA4B4C">
              <w:rPr>
                <w:rFonts w:cstheme="minorHAnsi"/>
              </w:rPr>
              <w:t xml:space="preserve">Jefe de Trabajos Prácticos en la materia “Metodología de la investigación en Ciencia Política II” y auxiliar docente en “Fundamentos de Ciencia Política II” de la Carrera de Ciencia Política (UBA). </w:t>
            </w:r>
          </w:p>
        </w:tc>
      </w:tr>
    </w:tbl>
    <w:p w:rsidR="00AF7884" w:rsidRDefault="00AF7884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Fundamentación </w:t>
      </w:r>
    </w:p>
    <w:p w:rsidR="00F2149E" w:rsidRDefault="00B6777B">
      <w:pPr>
        <w:spacing w:line="240" w:lineRule="auto"/>
        <w:jc w:val="both"/>
        <w:rPr>
          <w:sz w:val="24"/>
          <w:szCs w:val="24"/>
        </w:rPr>
      </w:pPr>
      <w:r w:rsidRPr="00B6777B">
        <w:rPr>
          <w:sz w:val="24"/>
          <w:szCs w:val="24"/>
        </w:rPr>
        <w:t>Para</w:t>
      </w:r>
      <w:r>
        <w:rPr>
          <w:sz w:val="24"/>
          <w:szCs w:val="24"/>
        </w:rPr>
        <w:t xml:space="preserve"> abordar el análisis político es ineludible la aplicación de un método. En este cometido la materia </w:t>
      </w:r>
      <w:r w:rsidRPr="0050604A">
        <w:rPr>
          <w:i/>
          <w:sz w:val="24"/>
          <w:szCs w:val="24"/>
        </w:rPr>
        <w:t>Metodología del análisis político</w:t>
      </w:r>
      <w:r>
        <w:rPr>
          <w:sz w:val="24"/>
          <w:szCs w:val="24"/>
        </w:rPr>
        <w:t xml:space="preserve"> provee a los estud</w:t>
      </w:r>
      <w:r w:rsidR="0050604A">
        <w:rPr>
          <w:sz w:val="24"/>
          <w:szCs w:val="24"/>
        </w:rPr>
        <w:t>iantes las bases para el manejo</w:t>
      </w:r>
      <w:r>
        <w:rPr>
          <w:sz w:val="24"/>
          <w:szCs w:val="24"/>
        </w:rPr>
        <w:t xml:space="preserve"> de técnicas e instrumentos</w:t>
      </w:r>
      <w:r w:rsidR="0050604A">
        <w:rPr>
          <w:sz w:val="24"/>
          <w:szCs w:val="24"/>
        </w:rPr>
        <w:t>,</w:t>
      </w:r>
      <w:r>
        <w:rPr>
          <w:sz w:val="24"/>
          <w:szCs w:val="24"/>
        </w:rPr>
        <w:t xml:space="preserve"> enmarcados en diferentes métodos científicos</w:t>
      </w:r>
      <w:r w:rsidR="0050604A">
        <w:rPr>
          <w:sz w:val="24"/>
          <w:szCs w:val="24"/>
        </w:rPr>
        <w:t>,</w:t>
      </w:r>
      <w:r>
        <w:rPr>
          <w:sz w:val="24"/>
          <w:szCs w:val="24"/>
        </w:rPr>
        <w:t xml:space="preserve"> en el diseño de estrategias políticas</w:t>
      </w:r>
      <w:r w:rsidR="0050604A">
        <w:rPr>
          <w:sz w:val="24"/>
          <w:szCs w:val="24"/>
        </w:rPr>
        <w:t>, con hincapié en sus alcances y sus limitaciones. Sus contenidos se orientan a dotar de herramientas para la organización, análisis, comprensión e interpretación de la realidad política, los procesos de toma de decisiones y la opinión pública.</w:t>
      </w:r>
    </w:p>
    <w:p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Objetivos</w:t>
      </w:r>
    </w:p>
    <w:p w:rsidR="00AF7884" w:rsidRPr="00AF7884" w:rsidRDefault="00AF7884" w:rsidP="00AF7884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jc w:val="both"/>
        <w:rPr>
          <w:sz w:val="24"/>
          <w:szCs w:val="24"/>
          <w:lang w:val="es-ES"/>
        </w:rPr>
      </w:pPr>
      <w:r w:rsidRPr="00AF7884">
        <w:rPr>
          <w:sz w:val="24"/>
          <w:szCs w:val="24"/>
        </w:rPr>
        <w:t>Analizar los alcances y limitaciones del abordaje metodológico y las técnicas de investigación adoptadas para el diseño de estrategias políticas y la toma de decisiones.</w:t>
      </w:r>
    </w:p>
    <w:p w:rsidR="00AF7884" w:rsidRPr="00AF7884" w:rsidRDefault="00AF7884" w:rsidP="00AF7884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AF7884">
        <w:rPr>
          <w:sz w:val="24"/>
          <w:szCs w:val="24"/>
        </w:rPr>
        <w:lastRenderedPageBreak/>
        <w:t>Proveer herramientas analíticas y técnicas adecuadas para la realización de análisis políticos y estudios de opinión pública.</w:t>
      </w:r>
    </w:p>
    <w:p w:rsidR="00AF7884" w:rsidRPr="00AF7884" w:rsidRDefault="00AF7884" w:rsidP="00AF7884">
      <w:pPr>
        <w:pStyle w:val="Textoindependiente2"/>
        <w:numPr>
          <w:ilvl w:val="0"/>
          <w:numId w:val="2"/>
        </w:numPr>
        <w:tabs>
          <w:tab w:val="left" w:pos="709"/>
        </w:tabs>
        <w:spacing w:line="276" w:lineRule="auto"/>
        <w:rPr>
          <w:rFonts w:ascii="Calibri" w:eastAsiaTheme="minorHAnsi" w:hAnsi="Calibri" w:cs="Calibri"/>
          <w:i w:val="0"/>
          <w:szCs w:val="24"/>
          <w:lang w:val="es-MX" w:eastAsia="en-US"/>
        </w:rPr>
      </w:pPr>
      <w:r w:rsidRPr="00AF7884">
        <w:rPr>
          <w:rFonts w:ascii="Calibri" w:eastAsiaTheme="minorHAnsi" w:hAnsi="Calibri" w:cs="Calibri"/>
          <w:i w:val="0"/>
          <w:szCs w:val="24"/>
          <w:lang w:val="es-MX" w:eastAsia="en-US"/>
        </w:rPr>
        <w:t>En cada clase/unidad estructurar un tema metodológico nodal necesario para la aplicación de los métodos y técnicas más utilizados en las investigaciones de ciencia política y gobierno.</w:t>
      </w:r>
    </w:p>
    <w:p w:rsidR="00AF7884" w:rsidRPr="00AF7884" w:rsidRDefault="00AF7884" w:rsidP="00AF7884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AF7884">
        <w:rPr>
          <w:sz w:val="24"/>
          <w:szCs w:val="24"/>
        </w:rPr>
        <w:t>Orientar en la formulación de los pasos necesarios para elaborar un proyecto de investigación.</w:t>
      </w:r>
    </w:p>
    <w:p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Unidades</w:t>
      </w:r>
    </w:p>
    <w:p w:rsidR="00D018FF" w:rsidRDefault="00D018FF" w:rsidP="00D018FF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 1. </w:t>
      </w:r>
      <w:r w:rsidRPr="00D018FF">
        <w:rPr>
          <w:sz w:val="24"/>
          <w:szCs w:val="24"/>
        </w:rPr>
        <w:t>LAS CIENCIAS SOCIALE</w:t>
      </w:r>
      <w:r w:rsidR="001433D0">
        <w:rPr>
          <w:sz w:val="24"/>
          <w:szCs w:val="24"/>
        </w:rPr>
        <w:t xml:space="preserve">S, SUS METODOS Y SUS SUPUESTOS. </w:t>
      </w:r>
      <w:r w:rsidRPr="00D018FF">
        <w:rPr>
          <w:sz w:val="24"/>
          <w:szCs w:val="24"/>
        </w:rPr>
        <w:t>Métodos, técnicas y metodología. Positivismo, Neopositivismo, Historicismo. Explicación y comprensión. Ciencias nomológicas e ideográficas. Supuestos ontológicos, epistemológicos y metodológicos. Métodos cuantitativos y cualitativos.</w:t>
      </w:r>
    </w:p>
    <w:p w:rsidR="00F2149E" w:rsidRDefault="001A5117" w:rsidP="00D018FF">
      <w:pPr>
        <w:tabs>
          <w:tab w:val="left" w:pos="1590"/>
        </w:tabs>
        <w:spacing w:before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 </w:t>
      </w:r>
      <w:r w:rsidR="00A5351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018FF">
        <w:rPr>
          <w:sz w:val="24"/>
          <w:szCs w:val="24"/>
        </w:rPr>
        <w:t xml:space="preserve"> </w:t>
      </w:r>
      <w:r w:rsidR="00D018FF" w:rsidRPr="00D018FF">
        <w:rPr>
          <w:sz w:val="24"/>
          <w:szCs w:val="24"/>
        </w:rPr>
        <w:t>EX</w:t>
      </w:r>
      <w:r w:rsidR="001433D0">
        <w:rPr>
          <w:sz w:val="24"/>
          <w:szCs w:val="24"/>
        </w:rPr>
        <w:t xml:space="preserve">PERIMENTOS EN CIENCIA POLÍTICA. </w:t>
      </w:r>
      <w:r w:rsidR="00D018FF" w:rsidRPr="00D018FF">
        <w:rPr>
          <w:sz w:val="24"/>
          <w:szCs w:val="24"/>
        </w:rPr>
        <w:t xml:space="preserve">El problema de la explicación/inferencia causal. Abordajes observacionales vs abordajes no observacionales. Experimentos y cuasi-experimentos. Validez interna y validez externa. Variedades: experimento de laboratorio, experimento de campo, experimentos naturales, experimentos vía </w:t>
      </w:r>
      <w:proofErr w:type="spellStart"/>
      <w:r w:rsidR="00D018FF" w:rsidRPr="00D018FF">
        <w:rPr>
          <w:sz w:val="24"/>
          <w:szCs w:val="24"/>
        </w:rPr>
        <w:t>matching</w:t>
      </w:r>
      <w:proofErr w:type="spellEnd"/>
      <w:r w:rsidR="00D018FF" w:rsidRPr="00D018FF">
        <w:rPr>
          <w:sz w:val="24"/>
          <w:szCs w:val="24"/>
        </w:rPr>
        <w:t>, encuestas-experimentos (</w:t>
      </w:r>
      <w:proofErr w:type="spellStart"/>
      <w:r w:rsidR="00D018FF" w:rsidRPr="00D018FF">
        <w:rPr>
          <w:sz w:val="24"/>
          <w:szCs w:val="24"/>
        </w:rPr>
        <w:t>survey</w:t>
      </w:r>
      <w:proofErr w:type="spellEnd"/>
      <w:r w:rsidR="00D018FF" w:rsidRPr="00D018FF">
        <w:rPr>
          <w:sz w:val="24"/>
          <w:szCs w:val="24"/>
        </w:rPr>
        <w:t xml:space="preserve"> </w:t>
      </w:r>
      <w:proofErr w:type="spellStart"/>
      <w:r w:rsidR="00D018FF" w:rsidRPr="00D018FF">
        <w:rPr>
          <w:sz w:val="24"/>
          <w:szCs w:val="24"/>
        </w:rPr>
        <w:t>experiments</w:t>
      </w:r>
      <w:proofErr w:type="spellEnd"/>
      <w:r w:rsidR="00D018FF" w:rsidRPr="00D018FF">
        <w:rPr>
          <w:sz w:val="24"/>
          <w:szCs w:val="24"/>
        </w:rPr>
        <w:t>).</w:t>
      </w:r>
    </w:p>
    <w:p w:rsidR="00F2149E" w:rsidRDefault="001A5117" w:rsidP="00D018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 </w:t>
      </w:r>
      <w:r w:rsidR="00A5351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018FF" w:rsidRPr="00D018FF">
        <w:rPr>
          <w:sz w:val="24"/>
          <w:szCs w:val="24"/>
        </w:rPr>
        <w:t>L</w:t>
      </w:r>
      <w:r w:rsidR="001433D0">
        <w:rPr>
          <w:sz w:val="24"/>
          <w:szCs w:val="24"/>
        </w:rPr>
        <w:t xml:space="preserve">A MEDICIÓN EN CIENCIAS SOCIALES. </w:t>
      </w:r>
      <w:r w:rsidR="00D018FF" w:rsidRPr="00D018FF">
        <w:rPr>
          <w:sz w:val="24"/>
          <w:szCs w:val="24"/>
        </w:rPr>
        <w:t xml:space="preserve">Medición. Formación de conceptos. </w:t>
      </w:r>
      <w:proofErr w:type="spellStart"/>
      <w:r w:rsidR="00D018FF" w:rsidRPr="00D018FF">
        <w:rPr>
          <w:sz w:val="24"/>
          <w:szCs w:val="24"/>
        </w:rPr>
        <w:t>Operacionalización</w:t>
      </w:r>
      <w:proofErr w:type="spellEnd"/>
      <w:r w:rsidR="00D018FF" w:rsidRPr="00D018FF">
        <w:rPr>
          <w:sz w:val="24"/>
          <w:szCs w:val="24"/>
        </w:rPr>
        <w:t xml:space="preserve"> de variables. Clasificaciones y tipologías.</w:t>
      </w:r>
    </w:p>
    <w:p w:rsidR="001433D0" w:rsidRDefault="001433D0" w:rsidP="001433D0">
      <w:pPr>
        <w:spacing w:line="240" w:lineRule="auto"/>
        <w:jc w:val="both"/>
        <w:rPr>
          <w:sz w:val="24"/>
          <w:szCs w:val="24"/>
        </w:rPr>
      </w:pPr>
      <w:r w:rsidRPr="007451F9">
        <w:rPr>
          <w:sz w:val="24"/>
          <w:szCs w:val="24"/>
        </w:rPr>
        <w:t xml:space="preserve">Unidad </w:t>
      </w:r>
      <w:r w:rsidR="00A5351F" w:rsidRPr="007451F9">
        <w:rPr>
          <w:sz w:val="24"/>
          <w:szCs w:val="24"/>
        </w:rPr>
        <w:t>4</w:t>
      </w:r>
      <w:r w:rsidRPr="007451F9">
        <w:rPr>
          <w:sz w:val="24"/>
          <w:szCs w:val="24"/>
        </w:rPr>
        <w:t xml:space="preserve">. </w:t>
      </w:r>
      <w:r w:rsidR="00A5351F" w:rsidRPr="007451F9">
        <w:rPr>
          <w:sz w:val="24"/>
          <w:szCs w:val="24"/>
        </w:rPr>
        <w:t>LAS TÉCNICAS DEL ANÁLISIS CUALITATIVO</w:t>
      </w:r>
      <w:r w:rsidRPr="007451F9">
        <w:rPr>
          <w:sz w:val="24"/>
          <w:szCs w:val="24"/>
        </w:rPr>
        <w:t xml:space="preserve">. Tipos de entrevista. Grado de estructuración. Abordaje del entrevistado. La pauta de entrevista. Entrevista grupal: </w:t>
      </w:r>
      <w:proofErr w:type="spellStart"/>
      <w:r w:rsidRPr="007451F9">
        <w:rPr>
          <w:sz w:val="24"/>
          <w:szCs w:val="24"/>
        </w:rPr>
        <w:t>Focus</w:t>
      </w:r>
      <w:proofErr w:type="spellEnd"/>
      <w:r w:rsidRPr="007451F9">
        <w:rPr>
          <w:sz w:val="24"/>
          <w:szCs w:val="24"/>
        </w:rPr>
        <w:t xml:space="preserve"> </w:t>
      </w:r>
      <w:proofErr w:type="spellStart"/>
      <w:r w:rsidRPr="007451F9">
        <w:rPr>
          <w:sz w:val="24"/>
          <w:szCs w:val="24"/>
        </w:rPr>
        <w:t>Group</w:t>
      </w:r>
      <w:proofErr w:type="spellEnd"/>
      <w:r w:rsidRPr="007451F9">
        <w:rPr>
          <w:sz w:val="24"/>
          <w:szCs w:val="24"/>
        </w:rPr>
        <w:t>. Reclutamiento. Locación. Moderación. La dinámica de la sesión grupal. El análisis interpretativo de los datos.</w:t>
      </w:r>
      <w:r w:rsidR="007451F9" w:rsidRPr="007451F9">
        <w:rPr>
          <w:sz w:val="24"/>
          <w:szCs w:val="24"/>
        </w:rPr>
        <w:t xml:space="preserve"> Análisis documental.</w:t>
      </w:r>
    </w:p>
    <w:p w:rsidR="00A5351F" w:rsidRDefault="00A5351F" w:rsidP="00A5351F">
      <w:pPr>
        <w:tabs>
          <w:tab w:val="left" w:pos="15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 5. </w:t>
      </w:r>
      <w:r w:rsidRPr="00D018FF">
        <w:rPr>
          <w:sz w:val="24"/>
          <w:szCs w:val="24"/>
        </w:rPr>
        <w:t>MÉTODO COMPA</w:t>
      </w:r>
      <w:r>
        <w:rPr>
          <w:sz w:val="24"/>
          <w:szCs w:val="24"/>
        </w:rPr>
        <w:t xml:space="preserve">RATIVO. </w:t>
      </w:r>
      <w:r w:rsidRPr="00D018FF">
        <w:rPr>
          <w:sz w:val="24"/>
          <w:szCs w:val="24"/>
        </w:rPr>
        <w:t xml:space="preserve">Comparación y comparabilidad. El método comparativo: perspectivas y debates Estrategias comparativas. Similitud y diferencia. La cualidad y la cantidad en la comparación. </w:t>
      </w:r>
      <w:proofErr w:type="spellStart"/>
      <w:r w:rsidRPr="00D018FF">
        <w:rPr>
          <w:sz w:val="24"/>
          <w:szCs w:val="24"/>
        </w:rPr>
        <w:t>Qualitative</w:t>
      </w:r>
      <w:proofErr w:type="spellEnd"/>
      <w:r w:rsidRPr="00D018FF">
        <w:rPr>
          <w:sz w:val="24"/>
          <w:szCs w:val="24"/>
        </w:rPr>
        <w:t xml:space="preserve"> </w:t>
      </w:r>
      <w:proofErr w:type="spellStart"/>
      <w:r w:rsidRPr="00D018FF">
        <w:rPr>
          <w:sz w:val="24"/>
          <w:szCs w:val="24"/>
        </w:rPr>
        <w:t>Comparative</w:t>
      </w:r>
      <w:proofErr w:type="spellEnd"/>
      <w:r w:rsidRPr="00D018FF">
        <w:rPr>
          <w:sz w:val="24"/>
          <w:szCs w:val="24"/>
        </w:rPr>
        <w:t xml:space="preserve"> </w:t>
      </w:r>
      <w:proofErr w:type="spellStart"/>
      <w:r w:rsidRPr="00D018FF">
        <w:rPr>
          <w:sz w:val="24"/>
          <w:szCs w:val="24"/>
        </w:rPr>
        <w:t>Analysis</w:t>
      </w:r>
      <w:proofErr w:type="spellEnd"/>
      <w:r w:rsidRPr="00D018FF">
        <w:rPr>
          <w:sz w:val="24"/>
          <w:szCs w:val="24"/>
        </w:rPr>
        <w:t xml:space="preserve"> (QCA). Comparación </w:t>
      </w:r>
      <w:proofErr w:type="spellStart"/>
      <w:r w:rsidRPr="00D018FF">
        <w:rPr>
          <w:sz w:val="24"/>
          <w:szCs w:val="24"/>
        </w:rPr>
        <w:t>cross-national</w:t>
      </w:r>
      <w:proofErr w:type="spellEnd"/>
      <w:r w:rsidRPr="00D018FF">
        <w:rPr>
          <w:sz w:val="24"/>
          <w:szCs w:val="24"/>
        </w:rPr>
        <w:t xml:space="preserve"> y </w:t>
      </w:r>
      <w:proofErr w:type="spellStart"/>
      <w:r w:rsidRPr="00D018FF">
        <w:rPr>
          <w:sz w:val="24"/>
          <w:szCs w:val="24"/>
        </w:rPr>
        <w:t>cross</w:t>
      </w:r>
      <w:proofErr w:type="spellEnd"/>
      <w:r w:rsidRPr="00D018FF">
        <w:rPr>
          <w:sz w:val="24"/>
          <w:szCs w:val="24"/>
        </w:rPr>
        <w:t>-cultural.</w:t>
      </w:r>
    </w:p>
    <w:p w:rsidR="00F2149E" w:rsidRDefault="001433D0" w:rsidP="001433D0">
      <w:pPr>
        <w:spacing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UNIDAD 6. </w:t>
      </w:r>
      <w:r w:rsidR="00A5351F" w:rsidRPr="007451F9">
        <w:rPr>
          <w:sz w:val="24"/>
          <w:szCs w:val="28"/>
        </w:rPr>
        <w:t xml:space="preserve">LAS TÉCNICAS DEL </w:t>
      </w:r>
      <w:r w:rsidRPr="007451F9">
        <w:rPr>
          <w:sz w:val="24"/>
          <w:szCs w:val="28"/>
        </w:rPr>
        <w:t xml:space="preserve">ANÁLISIS ESTADÍSTICO PARTE 1. La matriz de datos. Porcentajes y distribución de frecuencias. Medidas de tendencia central. Varianza. Construcción y lectura de cuadros </w:t>
      </w:r>
      <w:proofErr w:type="spellStart"/>
      <w:r w:rsidRPr="007451F9">
        <w:rPr>
          <w:sz w:val="24"/>
          <w:szCs w:val="28"/>
        </w:rPr>
        <w:t>bivariados</w:t>
      </w:r>
      <w:proofErr w:type="spellEnd"/>
      <w:r w:rsidRPr="007451F9">
        <w:rPr>
          <w:sz w:val="24"/>
          <w:szCs w:val="28"/>
        </w:rPr>
        <w:t>. Lectura y construcción de gráficos.</w:t>
      </w:r>
      <w:r w:rsidR="00A5351F" w:rsidRPr="007451F9">
        <w:rPr>
          <w:sz w:val="24"/>
          <w:szCs w:val="28"/>
        </w:rPr>
        <w:t xml:space="preserve"> </w:t>
      </w:r>
      <w:r w:rsidR="007451F9" w:rsidRPr="007451F9">
        <w:rPr>
          <w:sz w:val="24"/>
          <w:szCs w:val="28"/>
        </w:rPr>
        <w:t>Análisis de e</w:t>
      </w:r>
      <w:r w:rsidR="00A5351F" w:rsidRPr="007451F9">
        <w:rPr>
          <w:sz w:val="24"/>
          <w:szCs w:val="28"/>
        </w:rPr>
        <w:t>ncuesta</w:t>
      </w:r>
      <w:r w:rsidR="007451F9" w:rsidRPr="007451F9">
        <w:rPr>
          <w:sz w:val="24"/>
          <w:szCs w:val="28"/>
        </w:rPr>
        <w:t>s.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>UNIDAD 7: ANÁLISIS ESTADÍSTICO PARTE 2</w:t>
      </w:r>
      <w:r>
        <w:rPr>
          <w:sz w:val="24"/>
          <w:szCs w:val="28"/>
        </w:rPr>
        <w:t xml:space="preserve">. </w:t>
      </w:r>
      <w:r w:rsidRPr="001433D0">
        <w:rPr>
          <w:sz w:val="24"/>
          <w:szCs w:val="28"/>
        </w:rPr>
        <w:t>Correlación y regresión. Big data.</w:t>
      </w:r>
    </w:p>
    <w:p w:rsidR="001433D0" w:rsidRDefault="001433D0">
      <w:pPr>
        <w:spacing w:line="240" w:lineRule="auto"/>
        <w:jc w:val="both"/>
        <w:rPr>
          <w:b/>
          <w:sz w:val="28"/>
          <w:szCs w:val="28"/>
        </w:rPr>
      </w:pPr>
    </w:p>
    <w:p w:rsidR="00887E8B" w:rsidRDefault="00887E8B">
      <w:pPr>
        <w:spacing w:line="240" w:lineRule="auto"/>
        <w:jc w:val="both"/>
        <w:rPr>
          <w:b/>
          <w:sz w:val="28"/>
          <w:szCs w:val="28"/>
        </w:rPr>
      </w:pPr>
    </w:p>
    <w:p w:rsidR="00887E8B" w:rsidRDefault="00887E8B">
      <w:pPr>
        <w:spacing w:line="240" w:lineRule="auto"/>
        <w:jc w:val="both"/>
        <w:rPr>
          <w:b/>
          <w:sz w:val="28"/>
          <w:szCs w:val="28"/>
        </w:rPr>
      </w:pPr>
    </w:p>
    <w:p w:rsidR="00887E8B" w:rsidRDefault="00887E8B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Bibliografía</w:t>
      </w:r>
    </w:p>
    <w:p w:rsidR="00F2149E" w:rsidRPr="001433D0" w:rsidRDefault="001433D0">
      <w:pPr>
        <w:spacing w:line="240" w:lineRule="auto"/>
        <w:jc w:val="both"/>
        <w:rPr>
          <w:b/>
          <w:sz w:val="24"/>
          <w:szCs w:val="28"/>
        </w:rPr>
      </w:pPr>
      <w:r w:rsidRPr="001433D0">
        <w:rPr>
          <w:b/>
          <w:sz w:val="24"/>
          <w:szCs w:val="28"/>
        </w:rPr>
        <w:t>Unidad 1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proofErr w:type="spellStart"/>
      <w:r w:rsidRPr="001433D0">
        <w:rPr>
          <w:sz w:val="24"/>
          <w:szCs w:val="28"/>
        </w:rPr>
        <w:t>Marradi</w:t>
      </w:r>
      <w:proofErr w:type="spellEnd"/>
      <w:r w:rsidRPr="001433D0">
        <w:rPr>
          <w:sz w:val="24"/>
          <w:szCs w:val="28"/>
        </w:rPr>
        <w:t xml:space="preserve">, A. (2002). “Método como arte”. </w:t>
      </w:r>
      <w:proofErr w:type="spellStart"/>
      <w:r w:rsidRPr="001433D0">
        <w:rPr>
          <w:sz w:val="24"/>
          <w:szCs w:val="28"/>
        </w:rPr>
        <w:t>Papers</w:t>
      </w:r>
      <w:proofErr w:type="spellEnd"/>
      <w:r w:rsidRPr="001433D0">
        <w:rPr>
          <w:sz w:val="24"/>
          <w:szCs w:val="28"/>
        </w:rPr>
        <w:t xml:space="preserve">: revista de </w:t>
      </w:r>
      <w:proofErr w:type="spellStart"/>
      <w:r w:rsidRPr="001433D0">
        <w:rPr>
          <w:sz w:val="24"/>
          <w:szCs w:val="28"/>
        </w:rPr>
        <w:t>sociologia</w:t>
      </w:r>
      <w:proofErr w:type="spellEnd"/>
      <w:r w:rsidRPr="001433D0">
        <w:rPr>
          <w:sz w:val="24"/>
          <w:szCs w:val="28"/>
        </w:rPr>
        <w:t>, (67), 107-127.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proofErr w:type="spellStart"/>
      <w:r w:rsidRPr="001433D0">
        <w:rPr>
          <w:sz w:val="24"/>
          <w:szCs w:val="28"/>
        </w:rPr>
        <w:t>Archenti</w:t>
      </w:r>
      <w:proofErr w:type="spellEnd"/>
      <w:r w:rsidRPr="001433D0">
        <w:rPr>
          <w:sz w:val="24"/>
          <w:szCs w:val="28"/>
        </w:rPr>
        <w:t xml:space="preserve">, N. y </w:t>
      </w:r>
      <w:proofErr w:type="spellStart"/>
      <w:r w:rsidRPr="001433D0">
        <w:rPr>
          <w:sz w:val="24"/>
          <w:szCs w:val="28"/>
        </w:rPr>
        <w:t>Piovani</w:t>
      </w:r>
      <w:proofErr w:type="spellEnd"/>
      <w:r w:rsidRPr="001433D0">
        <w:rPr>
          <w:sz w:val="24"/>
          <w:szCs w:val="28"/>
        </w:rPr>
        <w:t xml:space="preserve">, J. (2012). “Los debates metodológicos contemporáneos”. En A. </w:t>
      </w:r>
      <w:proofErr w:type="spellStart"/>
      <w:r w:rsidRPr="001433D0">
        <w:rPr>
          <w:sz w:val="24"/>
          <w:szCs w:val="28"/>
        </w:rPr>
        <w:t>Marradi</w:t>
      </w:r>
      <w:proofErr w:type="spellEnd"/>
      <w:r w:rsidRPr="001433D0">
        <w:rPr>
          <w:sz w:val="24"/>
          <w:szCs w:val="28"/>
        </w:rPr>
        <w:t xml:space="preserve">, N. </w:t>
      </w:r>
      <w:proofErr w:type="spellStart"/>
      <w:r w:rsidRPr="001433D0">
        <w:rPr>
          <w:sz w:val="24"/>
          <w:szCs w:val="28"/>
        </w:rPr>
        <w:t>Archenti</w:t>
      </w:r>
      <w:proofErr w:type="spellEnd"/>
      <w:r w:rsidRPr="001433D0">
        <w:rPr>
          <w:sz w:val="24"/>
          <w:szCs w:val="28"/>
        </w:rPr>
        <w:t xml:space="preserve"> y J. </w:t>
      </w:r>
      <w:proofErr w:type="spellStart"/>
      <w:r w:rsidRPr="001433D0">
        <w:rPr>
          <w:sz w:val="24"/>
          <w:szCs w:val="28"/>
        </w:rPr>
        <w:t>Piovani</w:t>
      </w:r>
      <w:proofErr w:type="spellEnd"/>
      <w:r w:rsidRPr="001433D0">
        <w:rPr>
          <w:sz w:val="24"/>
          <w:szCs w:val="28"/>
        </w:rPr>
        <w:t>, Manual de Metodología de las Ciencias Sociales. Buenos Aires: Siglo Veintiuno Editores.</w:t>
      </w:r>
    </w:p>
    <w:p w:rsidR="001433D0" w:rsidRPr="00E63FFB" w:rsidRDefault="001433D0" w:rsidP="001433D0">
      <w:pPr>
        <w:spacing w:line="240" w:lineRule="auto"/>
        <w:jc w:val="both"/>
        <w:rPr>
          <w:sz w:val="24"/>
          <w:szCs w:val="28"/>
          <w:lang w:val="en-US"/>
        </w:rPr>
      </w:pPr>
      <w:proofErr w:type="spellStart"/>
      <w:r w:rsidRPr="001433D0">
        <w:rPr>
          <w:sz w:val="24"/>
          <w:szCs w:val="28"/>
        </w:rPr>
        <w:t>Vasilachis</w:t>
      </w:r>
      <w:proofErr w:type="spellEnd"/>
      <w:r w:rsidRPr="001433D0">
        <w:rPr>
          <w:sz w:val="24"/>
          <w:szCs w:val="28"/>
        </w:rPr>
        <w:t xml:space="preserve"> de </w:t>
      </w:r>
      <w:proofErr w:type="spellStart"/>
      <w:r w:rsidRPr="001433D0">
        <w:rPr>
          <w:sz w:val="24"/>
          <w:szCs w:val="28"/>
        </w:rPr>
        <w:t>Gialdino</w:t>
      </w:r>
      <w:proofErr w:type="spellEnd"/>
      <w:r w:rsidRPr="001433D0">
        <w:rPr>
          <w:sz w:val="24"/>
          <w:szCs w:val="28"/>
        </w:rPr>
        <w:t xml:space="preserve">, I. (2009) “Los fundamentos ontológicos y epistemológicos de la investigación cualitativa”. </w:t>
      </w:r>
      <w:r w:rsidRPr="00E63FFB">
        <w:rPr>
          <w:sz w:val="24"/>
          <w:szCs w:val="28"/>
          <w:lang w:val="en-US"/>
        </w:rPr>
        <w:t>Forum, Qualitative Social Research, 10(2).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proofErr w:type="spellStart"/>
      <w:r w:rsidRPr="00E63FFB">
        <w:rPr>
          <w:sz w:val="24"/>
          <w:szCs w:val="28"/>
          <w:lang w:val="en-US"/>
        </w:rPr>
        <w:t>Denzin</w:t>
      </w:r>
      <w:proofErr w:type="spellEnd"/>
      <w:r w:rsidRPr="00E63FFB">
        <w:rPr>
          <w:sz w:val="24"/>
          <w:szCs w:val="28"/>
          <w:lang w:val="en-US"/>
        </w:rPr>
        <w:t>, N. y Lincoln, Y. (</w:t>
      </w:r>
      <w:proofErr w:type="spellStart"/>
      <w:r w:rsidRPr="00E63FFB">
        <w:rPr>
          <w:sz w:val="24"/>
          <w:szCs w:val="28"/>
          <w:lang w:val="en-US"/>
        </w:rPr>
        <w:t>coords</w:t>
      </w:r>
      <w:proofErr w:type="spellEnd"/>
      <w:r w:rsidRPr="00E63FFB">
        <w:rPr>
          <w:sz w:val="24"/>
          <w:szCs w:val="28"/>
          <w:lang w:val="en-US"/>
        </w:rPr>
        <w:t xml:space="preserve">.) </w:t>
      </w:r>
      <w:r w:rsidRPr="001433D0">
        <w:rPr>
          <w:sz w:val="24"/>
          <w:szCs w:val="28"/>
        </w:rPr>
        <w:t xml:space="preserve">(2012). Manual de investigación cualitativa. Madrid: </w:t>
      </w:r>
      <w:proofErr w:type="spellStart"/>
      <w:r w:rsidRPr="001433D0">
        <w:rPr>
          <w:sz w:val="24"/>
          <w:szCs w:val="28"/>
        </w:rPr>
        <w:t>Gedisa</w:t>
      </w:r>
      <w:proofErr w:type="spellEnd"/>
      <w:r w:rsidRPr="001433D0">
        <w:rPr>
          <w:sz w:val="24"/>
          <w:szCs w:val="28"/>
        </w:rPr>
        <w:t>.</w:t>
      </w:r>
    </w:p>
    <w:p w:rsidR="007451F9" w:rsidRPr="001433D0" w:rsidRDefault="007451F9" w:rsidP="007451F9">
      <w:pPr>
        <w:spacing w:line="240" w:lineRule="auto"/>
        <w:jc w:val="both"/>
        <w:rPr>
          <w:b/>
          <w:sz w:val="24"/>
          <w:szCs w:val="28"/>
        </w:rPr>
      </w:pPr>
      <w:r w:rsidRPr="001433D0">
        <w:rPr>
          <w:b/>
          <w:sz w:val="24"/>
          <w:szCs w:val="28"/>
        </w:rPr>
        <w:t xml:space="preserve">Unidad </w:t>
      </w:r>
      <w:r>
        <w:rPr>
          <w:b/>
          <w:sz w:val="24"/>
          <w:szCs w:val="28"/>
        </w:rPr>
        <w:t>2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>Bibliografía teórica: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proofErr w:type="spellStart"/>
      <w:r w:rsidRPr="001433D0">
        <w:rPr>
          <w:sz w:val="24"/>
          <w:szCs w:val="28"/>
        </w:rPr>
        <w:t>Marradi</w:t>
      </w:r>
      <w:proofErr w:type="spellEnd"/>
      <w:r w:rsidRPr="001433D0">
        <w:rPr>
          <w:sz w:val="24"/>
          <w:szCs w:val="28"/>
        </w:rPr>
        <w:t xml:space="preserve">, A. (2012). “Tres aproximaciones a la ciencia”. En A. </w:t>
      </w:r>
      <w:proofErr w:type="spellStart"/>
      <w:r w:rsidRPr="001433D0">
        <w:rPr>
          <w:sz w:val="24"/>
          <w:szCs w:val="28"/>
        </w:rPr>
        <w:t>Marradi</w:t>
      </w:r>
      <w:proofErr w:type="spellEnd"/>
      <w:r w:rsidRPr="001433D0">
        <w:rPr>
          <w:sz w:val="24"/>
          <w:szCs w:val="28"/>
        </w:rPr>
        <w:t xml:space="preserve">, N. </w:t>
      </w:r>
      <w:proofErr w:type="spellStart"/>
      <w:r w:rsidRPr="001433D0">
        <w:rPr>
          <w:sz w:val="24"/>
          <w:szCs w:val="28"/>
        </w:rPr>
        <w:t>Archenti</w:t>
      </w:r>
      <w:proofErr w:type="spellEnd"/>
      <w:r w:rsidRPr="001433D0">
        <w:rPr>
          <w:sz w:val="24"/>
          <w:szCs w:val="28"/>
        </w:rPr>
        <w:t xml:space="preserve"> y J. </w:t>
      </w:r>
      <w:proofErr w:type="spellStart"/>
      <w:r w:rsidRPr="001433D0">
        <w:rPr>
          <w:sz w:val="24"/>
          <w:szCs w:val="28"/>
        </w:rPr>
        <w:t>Piovani</w:t>
      </w:r>
      <w:proofErr w:type="spellEnd"/>
      <w:r w:rsidRPr="001433D0">
        <w:rPr>
          <w:sz w:val="24"/>
          <w:szCs w:val="28"/>
        </w:rPr>
        <w:t>, Manual de Metodología de las Ciencias Sociales. Buenos Aires: Siglo Veintiuno Editores.</w:t>
      </w:r>
    </w:p>
    <w:p w:rsidR="007451F9" w:rsidRPr="00E63FFB" w:rsidRDefault="007451F9" w:rsidP="007451F9">
      <w:pPr>
        <w:spacing w:line="240" w:lineRule="auto"/>
        <w:jc w:val="both"/>
        <w:rPr>
          <w:sz w:val="24"/>
          <w:szCs w:val="28"/>
          <w:lang w:val="en-US"/>
        </w:rPr>
      </w:pPr>
      <w:r w:rsidRPr="001433D0">
        <w:rPr>
          <w:sz w:val="24"/>
          <w:szCs w:val="28"/>
        </w:rPr>
        <w:t xml:space="preserve">Morgan, S. y </w:t>
      </w:r>
      <w:proofErr w:type="spellStart"/>
      <w:r w:rsidRPr="001433D0">
        <w:rPr>
          <w:sz w:val="24"/>
          <w:szCs w:val="28"/>
        </w:rPr>
        <w:t>Winship</w:t>
      </w:r>
      <w:proofErr w:type="spellEnd"/>
      <w:r w:rsidRPr="001433D0">
        <w:rPr>
          <w:sz w:val="24"/>
          <w:szCs w:val="28"/>
        </w:rPr>
        <w:t xml:space="preserve">, C. (2007). </w:t>
      </w:r>
      <w:proofErr w:type="gramStart"/>
      <w:r w:rsidRPr="00E63FFB">
        <w:rPr>
          <w:sz w:val="24"/>
          <w:szCs w:val="28"/>
          <w:lang w:val="en-US"/>
        </w:rPr>
        <w:t>Counterfactuals and causal inference.</w:t>
      </w:r>
      <w:proofErr w:type="gramEnd"/>
      <w:r w:rsidRPr="00E63FFB">
        <w:rPr>
          <w:sz w:val="24"/>
          <w:szCs w:val="28"/>
          <w:lang w:val="en-US"/>
        </w:rPr>
        <w:t xml:space="preserve"> </w:t>
      </w:r>
      <w:proofErr w:type="gramStart"/>
      <w:r w:rsidRPr="00E63FFB">
        <w:rPr>
          <w:sz w:val="24"/>
          <w:szCs w:val="28"/>
          <w:lang w:val="en-US"/>
        </w:rPr>
        <w:t>Methods and principles for social research.</w:t>
      </w:r>
      <w:proofErr w:type="gramEnd"/>
      <w:r w:rsidRPr="00E63FFB">
        <w:rPr>
          <w:sz w:val="24"/>
          <w:szCs w:val="28"/>
          <w:lang w:val="en-US"/>
        </w:rPr>
        <w:t xml:space="preserve"> Nueva York: Cambridge University Press.</w:t>
      </w:r>
    </w:p>
    <w:p w:rsidR="007451F9" w:rsidRPr="00E63FFB" w:rsidRDefault="007451F9" w:rsidP="007451F9">
      <w:pPr>
        <w:spacing w:line="240" w:lineRule="auto"/>
        <w:jc w:val="both"/>
        <w:rPr>
          <w:sz w:val="24"/>
          <w:szCs w:val="28"/>
          <w:lang w:val="en-US"/>
        </w:rPr>
      </w:pPr>
      <w:r w:rsidRPr="00E63FFB">
        <w:rPr>
          <w:sz w:val="24"/>
          <w:szCs w:val="28"/>
          <w:lang w:val="en-US"/>
        </w:rPr>
        <w:t xml:space="preserve">Morton, R. y </w:t>
      </w:r>
      <w:proofErr w:type="spellStart"/>
      <w:r w:rsidRPr="00E63FFB">
        <w:rPr>
          <w:sz w:val="24"/>
          <w:szCs w:val="28"/>
          <w:lang w:val="en-US"/>
        </w:rPr>
        <w:t>Willliams</w:t>
      </w:r>
      <w:proofErr w:type="spellEnd"/>
      <w:r w:rsidRPr="00E63FFB">
        <w:rPr>
          <w:sz w:val="24"/>
          <w:szCs w:val="28"/>
          <w:lang w:val="en-US"/>
        </w:rPr>
        <w:t xml:space="preserve">, K. (2010). </w:t>
      </w:r>
      <w:proofErr w:type="gramStart"/>
      <w:r w:rsidRPr="00E63FFB">
        <w:rPr>
          <w:sz w:val="24"/>
          <w:szCs w:val="28"/>
          <w:lang w:val="en-US"/>
        </w:rPr>
        <w:t>Experimental political science and the study of causality.</w:t>
      </w:r>
      <w:proofErr w:type="gramEnd"/>
      <w:r w:rsidRPr="00E63FFB">
        <w:rPr>
          <w:sz w:val="24"/>
          <w:szCs w:val="28"/>
          <w:lang w:val="en-US"/>
        </w:rPr>
        <w:t xml:space="preserve"> </w:t>
      </w:r>
      <w:proofErr w:type="gramStart"/>
      <w:r w:rsidRPr="00E63FFB">
        <w:rPr>
          <w:sz w:val="24"/>
          <w:szCs w:val="28"/>
          <w:lang w:val="en-US"/>
        </w:rPr>
        <w:t>From nature to the lab.</w:t>
      </w:r>
      <w:proofErr w:type="gramEnd"/>
      <w:r w:rsidRPr="00E63FFB">
        <w:rPr>
          <w:sz w:val="24"/>
          <w:szCs w:val="28"/>
          <w:lang w:val="en-US"/>
        </w:rPr>
        <w:t xml:space="preserve"> Nueva York: Cambridge University Press.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>Bibliografía de aplicación:</w:t>
      </w:r>
    </w:p>
    <w:p w:rsidR="007451F9" w:rsidRPr="00E63FFB" w:rsidRDefault="007451F9" w:rsidP="007451F9">
      <w:pPr>
        <w:spacing w:line="240" w:lineRule="auto"/>
        <w:jc w:val="both"/>
        <w:rPr>
          <w:sz w:val="24"/>
          <w:szCs w:val="28"/>
          <w:lang w:val="en-US"/>
        </w:rPr>
      </w:pPr>
      <w:r w:rsidRPr="001433D0">
        <w:rPr>
          <w:sz w:val="24"/>
          <w:szCs w:val="28"/>
        </w:rPr>
        <w:t xml:space="preserve">De la O, A. L. y </w:t>
      </w:r>
      <w:proofErr w:type="spellStart"/>
      <w:r w:rsidRPr="001433D0">
        <w:rPr>
          <w:sz w:val="24"/>
          <w:szCs w:val="28"/>
        </w:rPr>
        <w:t>Wantchekon</w:t>
      </w:r>
      <w:proofErr w:type="spellEnd"/>
      <w:r w:rsidRPr="001433D0">
        <w:rPr>
          <w:sz w:val="24"/>
          <w:szCs w:val="28"/>
        </w:rPr>
        <w:t xml:space="preserve">, L. (2011). </w:t>
      </w:r>
      <w:proofErr w:type="gramStart"/>
      <w:r w:rsidRPr="00E63FFB">
        <w:rPr>
          <w:sz w:val="24"/>
          <w:szCs w:val="28"/>
          <w:lang w:val="en-US"/>
        </w:rPr>
        <w:t xml:space="preserve">“Experimental research on democracy and development”, en J. </w:t>
      </w:r>
      <w:proofErr w:type="spellStart"/>
      <w:r w:rsidRPr="00E63FFB">
        <w:rPr>
          <w:sz w:val="24"/>
          <w:szCs w:val="28"/>
          <w:lang w:val="en-US"/>
        </w:rPr>
        <w:t>Druckman</w:t>
      </w:r>
      <w:proofErr w:type="spellEnd"/>
      <w:r w:rsidRPr="00E63FFB">
        <w:rPr>
          <w:sz w:val="24"/>
          <w:szCs w:val="28"/>
          <w:lang w:val="en-US"/>
        </w:rPr>
        <w:t xml:space="preserve"> et al., Cambridge Handbook of Experimental Political Science.</w:t>
      </w:r>
      <w:proofErr w:type="gramEnd"/>
      <w:r w:rsidRPr="00E63FFB">
        <w:rPr>
          <w:sz w:val="24"/>
          <w:szCs w:val="28"/>
          <w:lang w:val="en-US"/>
        </w:rPr>
        <w:t xml:space="preserve"> Cambridge: Cambridge University Press.</w:t>
      </w:r>
    </w:p>
    <w:p w:rsidR="007451F9" w:rsidRPr="00E63FFB" w:rsidRDefault="007451F9" w:rsidP="007451F9">
      <w:pPr>
        <w:spacing w:line="240" w:lineRule="auto"/>
        <w:jc w:val="both"/>
        <w:rPr>
          <w:sz w:val="24"/>
          <w:szCs w:val="28"/>
          <w:lang w:val="en-US"/>
        </w:rPr>
      </w:pPr>
      <w:r w:rsidRPr="00E63FFB">
        <w:rPr>
          <w:sz w:val="24"/>
          <w:szCs w:val="28"/>
          <w:lang w:val="en-US"/>
        </w:rPr>
        <w:t>Rossi, M. A. (2016). Self-perpetuation of political power: Evidence from a natural experiment in Argentina (No. 127), UDESA.</w:t>
      </w:r>
    </w:p>
    <w:p w:rsidR="007451F9" w:rsidRPr="00E63FFB" w:rsidRDefault="007451F9" w:rsidP="007451F9">
      <w:pPr>
        <w:spacing w:line="240" w:lineRule="auto"/>
        <w:jc w:val="both"/>
        <w:rPr>
          <w:sz w:val="24"/>
          <w:szCs w:val="28"/>
          <w:lang w:val="en-US"/>
        </w:rPr>
      </w:pPr>
      <w:proofErr w:type="spellStart"/>
      <w:r w:rsidRPr="001433D0">
        <w:rPr>
          <w:sz w:val="24"/>
          <w:szCs w:val="28"/>
        </w:rPr>
        <w:t>Galiani</w:t>
      </w:r>
      <w:proofErr w:type="spellEnd"/>
      <w:r w:rsidRPr="001433D0">
        <w:rPr>
          <w:sz w:val="24"/>
          <w:szCs w:val="28"/>
        </w:rPr>
        <w:t xml:space="preserve">, S. y </w:t>
      </w:r>
      <w:proofErr w:type="spellStart"/>
      <w:r w:rsidRPr="001433D0">
        <w:rPr>
          <w:sz w:val="24"/>
          <w:szCs w:val="28"/>
        </w:rPr>
        <w:t>Schargrodsky</w:t>
      </w:r>
      <w:proofErr w:type="spellEnd"/>
      <w:r w:rsidRPr="001433D0">
        <w:rPr>
          <w:sz w:val="24"/>
          <w:szCs w:val="28"/>
        </w:rPr>
        <w:t xml:space="preserve">, E. (2010). “Solano: Efectos del otorgamiento de títulos de propiedad de la tierra”. </w:t>
      </w:r>
      <w:proofErr w:type="spellStart"/>
      <w:r w:rsidRPr="00E63FFB">
        <w:rPr>
          <w:sz w:val="24"/>
          <w:szCs w:val="28"/>
          <w:lang w:val="en-US"/>
        </w:rPr>
        <w:t>Desarrollo</w:t>
      </w:r>
      <w:proofErr w:type="spellEnd"/>
      <w:r w:rsidRPr="00E63FFB">
        <w:rPr>
          <w:sz w:val="24"/>
          <w:szCs w:val="28"/>
          <w:lang w:val="en-US"/>
        </w:rPr>
        <w:t xml:space="preserve"> </w:t>
      </w:r>
      <w:proofErr w:type="spellStart"/>
      <w:r w:rsidRPr="00E63FFB">
        <w:rPr>
          <w:sz w:val="24"/>
          <w:szCs w:val="28"/>
          <w:lang w:val="en-US"/>
        </w:rPr>
        <w:t>Económico</w:t>
      </w:r>
      <w:proofErr w:type="spellEnd"/>
      <w:r w:rsidRPr="00E63FFB">
        <w:rPr>
          <w:sz w:val="24"/>
          <w:szCs w:val="28"/>
          <w:lang w:val="en-US"/>
        </w:rPr>
        <w:t>, 50(198), 163-195.</w:t>
      </w:r>
    </w:p>
    <w:p w:rsidR="007451F9" w:rsidRPr="00E63FFB" w:rsidRDefault="007451F9" w:rsidP="007451F9">
      <w:pPr>
        <w:spacing w:line="240" w:lineRule="auto"/>
        <w:jc w:val="both"/>
        <w:rPr>
          <w:sz w:val="24"/>
          <w:szCs w:val="28"/>
          <w:lang w:val="en-US"/>
        </w:rPr>
      </w:pPr>
      <w:proofErr w:type="spellStart"/>
      <w:r w:rsidRPr="00E63FFB">
        <w:rPr>
          <w:sz w:val="24"/>
          <w:szCs w:val="28"/>
          <w:lang w:val="en-US"/>
        </w:rPr>
        <w:t>Zucco</w:t>
      </w:r>
      <w:proofErr w:type="spellEnd"/>
      <w:r w:rsidRPr="00E63FFB">
        <w:rPr>
          <w:sz w:val="24"/>
          <w:szCs w:val="28"/>
          <w:lang w:val="en-US"/>
        </w:rPr>
        <w:t xml:space="preserve">, C. (2013). </w:t>
      </w:r>
      <w:proofErr w:type="gramStart"/>
      <w:r w:rsidRPr="00E63FFB">
        <w:rPr>
          <w:sz w:val="24"/>
          <w:szCs w:val="28"/>
          <w:lang w:val="en-US"/>
        </w:rPr>
        <w:t xml:space="preserve">“When payouts </w:t>
      </w:r>
      <w:proofErr w:type="spellStart"/>
      <w:r w:rsidRPr="00E63FFB">
        <w:rPr>
          <w:sz w:val="24"/>
          <w:szCs w:val="28"/>
          <w:lang w:val="en-US"/>
        </w:rPr>
        <w:t>pay off</w:t>
      </w:r>
      <w:proofErr w:type="spellEnd"/>
      <w:r w:rsidRPr="00E63FFB">
        <w:rPr>
          <w:sz w:val="24"/>
          <w:szCs w:val="28"/>
          <w:lang w:val="en-US"/>
        </w:rPr>
        <w:t>: Conditional cash transfers and voting behavior in Brazil 2002–10”.</w:t>
      </w:r>
      <w:proofErr w:type="gramEnd"/>
      <w:r w:rsidRPr="00E63FFB">
        <w:rPr>
          <w:sz w:val="24"/>
          <w:szCs w:val="28"/>
          <w:lang w:val="en-US"/>
        </w:rPr>
        <w:t xml:space="preserve"> American Journal of Political Science, 57(4), 810-822.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proofErr w:type="spellStart"/>
      <w:r w:rsidRPr="00E63FFB">
        <w:rPr>
          <w:sz w:val="24"/>
          <w:szCs w:val="28"/>
          <w:lang w:val="en-US"/>
        </w:rPr>
        <w:t>Lupu</w:t>
      </w:r>
      <w:proofErr w:type="spellEnd"/>
      <w:r w:rsidRPr="00E63FFB">
        <w:rPr>
          <w:sz w:val="24"/>
          <w:szCs w:val="28"/>
          <w:lang w:val="en-US"/>
        </w:rPr>
        <w:t xml:space="preserve">, N. (2013). “Party brands and partisanship: Theory with evidence from a survey experiment in Argentina”. </w:t>
      </w:r>
      <w:r w:rsidRPr="001433D0">
        <w:rPr>
          <w:sz w:val="24"/>
          <w:szCs w:val="28"/>
        </w:rPr>
        <w:t xml:space="preserve">American </w:t>
      </w:r>
      <w:proofErr w:type="spellStart"/>
      <w:r w:rsidRPr="001433D0">
        <w:rPr>
          <w:sz w:val="24"/>
          <w:szCs w:val="28"/>
        </w:rPr>
        <w:t>Journal</w:t>
      </w:r>
      <w:proofErr w:type="spellEnd"/>
      <w:r w:rsidRPr="001433D0">
        <w:rPr>
          <w:sz w:val="24"/>
          <w:szCs w:val="28"/>
        </w:rPr>
        <w:t xml:space="preserve"> of </w:t>
      </w:r>
      <w:proofErr w:type="spellStart"/>
      <w:r w:rsidRPr="001433D0">
        <w:rPr>
          <w:sz w:val="24"/>
          <w:szCs w:val="28"/>
        </w:rPr>
        <w:t>Political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Science</w:t>
      </w:r>
      <w:proofErr w:type="spellEnd"/>
      <w:r w:rsidRPr="001433D0">
        <w:rPr>
          <w:sz w:val="24"/>
          <w:szCs w:val="28"/>
        </w:rPr>
        <w:t>, 57(1), 49-64.</w:t>
      </w:r>
    </w:p>
    <w:p w:rsidR="007451F9" w:rsidRPr="001433D0" w:rsidRDefault="007451F9" w:rsidP="007451F9">
      <w:pPr>
        <w:spacing w:line="240" w:lineRule="auto"/>
        <w:jc w:val="both"/>
        <w:rPr>
          <w:b/>
          <w:sz w:val="24"/>
          <w:szCs w:val="28"/>
        </w:rPr>
      </w:pPr>
      <w:r w:rsidRPr="001433D0">
        <w:rPr>
          <w:b/>
          <w:sz w:val="24"/>
          <w:szCs w:val="28"/>
        </w:rPr>
        <w:t xml:space="preserve">Unidad </w:t>
      </w:r>
      <w:r>
        <w:rPr>
          <w:b/>
          <w:sz w:val="24"/>
          <w:szCs w:val="28"/>
        </w:rPr>
        <w:t>3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>Bibliografía teórica:</w:t>
      </w:r>
    </w:p>
    <w:p w:rsidR="007451F9" w:rsidRPr="00E63FFB" w:rsidRDefault="007451F9" w:rsidP="007451F9">
      <w:pPr>
        <w:spacing w:line="240" w:lineRule="auto"/>
        <w:jc w:val="both"/>
        <w:rPr>
          <w:sz w:val="24"/>
          <w:szCs w:val="28"/>
          <w:lang w:val="en-US"/>
        </w:rPr>
      </w:pPr>
      <w:proofErr w:type="spellStart"/>
      <w:r w:rsidRPr="001433D0">
        <w:rPr>
          <w:sz w:val="24"/>
          <w:szCs w:val="28"/>
        </w:rPr>
        <w:lastRenderedPageBreak/>
        <w:t>Marradi</w:t>
      </w:r>
      <w:proofErr w:type="spellEnd"/>
      <w:r w:rsidRPr="001433D0">
        <w:rPr>
          <w:sz w:val="24"/>
          <w:szCs w:val="28"/>
        </w:rPr>
        <w:t xml:space="preserve">, A. (2015). “Medición, experimento, ley: el silogismo cientificista”. En A. </w:t>
      </w:r>
      <w:proofErr w:type="spellStart"/>
      <w:r w:rsidRPr="001433D0">
        <w:rPr>
          <w:sz w:val="24"/>
          <w:szCs w:val="28"/>
        </w:rPr>
        <w:t>Marradi</w:t>
      </w:r>
      <w:proofErr w:type="spellEnd"/>
      <w:r w:rsidRPr="001433D0">
        <w:rPr>
          <w:sz w:val="24"/>
          <w:szCs w:val="28"/>
        </w:rPr>
        <w:t xml:space="preserve"> (</w:t>
      </w:r>
      <w:proofErr w:type="spellStart"/>
      <w:r w:rsidRPr="001433D0">
        <w:rPr>
          <w:sz w:val="24"/>
          <w:szCs w:val="28"/>
        </w:rPr>
        <w:t>comp.</w:t>
      </w:r>
      <w:proofErr w:type="spellEnd"/>
      <w:r w:rsidRPr="001433D0">
        <w:rPr>
          <w:sz w:val="24"/>
          <w:szCs w:val="28"/>
        </w:rPr>
        <w:t xml:space="preserve">), Las ciencias sociales ¿seguirán imitando a las ciencias duras? : un simposio a distancia. </w:t>
      </w:r>
      <w:r w:rsidRPr="00E63FFB">
        <w:rPr>
          <w:sz w:val="24"/>
          <w:szCs w:val="28"/>
          <w:lang w:val="en-US"/>
        </w:rPr>
        <w:t>Buenos Aires: Antigua.</w:t>
      </w:r>
    </w:p>
    <w:p w:rsidR="007451F9" w:rsidRPr="00E63FFB" w:rsidRDefault="007451F9" w:rsidP="007451F9">
      <w:pPr>
        <w:spacing w:line="240" w:lineRule="auto"/>
        <w:jc w:val="both"/>
        <w:rPr>
          <w:sz w:val="24"/>
          <w:szCs w:val="28"/>
          <w:lang w:val="en-US"/>
        </w:rPr>
      </w:pPr>
      <w:proofErr w:type="spellStart"/>
      <w:r w:rsidRPr="00E63FFB">
        <w:rPr>
          <w:sz w:val="24"/>
          <w:szCs w:val="28"/>
          <w:lang w:val="en-US"/>
        </w:rPr>
        <w:t>Sartori</w:t>
      </w:r>
      <w:proofErr w:type="spellEnd"/>
      <w:r w:rsidRPr="00E63FFB">
        <w:rPr>
          <w:sz w:val="24"/>
          <w:szCs w:val="28"/>
          <w:lang w:val="en-US"/>
        </w:rPr>
        <w:t xml:space="preserve">, G. (1970). </w:t>
      </w:r>
      <w:proofErr w:type="gramStart"/>
      <w:r w:rsidRPr="00E63FFB">
        <w:rPr>
          <w:sz w:val="24"/>
          <w:szCs w:val="28"/>
          <w:lang w:val="en-US"/>
        </w:rPr>
        <w:t xml:space="preserve">“Concept </w:t>
      </w:r>
      <w:proofErr w:type="spellStart"/>
      <w:r w:rsidRPr="00E63FFB">
        <w:rPr>
          <w:sz w:val="24"/>
          <w:szCs w:val="28"/>
          <w:lang w:val="en-US"/>
        </w:rPr>
        <w:t>misformation</w:t>
      </w:r>
      <w:proofErr w:type="spellEnd"/>
      <w:r w:rsidRPr="00E63FFB">
        <w:rPr>
          <w:sz w:val="24"/>
          <w:szCs w:val="28"/>
          <w:lang w:val="en-US"/>
        </w:rPr>
        <w:t xml:space="preserve"> in comparative politics”.</w:t>
      </w:r>
      <w:proofErr w:type="gramEnd"/>
      <w:r w:rsidRPr="00E63FFB">
        <w:rPr>
          <w:sz w:val="24"/>
          <w:szCs w:val="28"/>
          <w:lang w:val="en-US"/>
        </w:rPr>
        <w:t xml:space="preserve"> American Political Science Review, 64(4), 1033-1053.</w:t>
      </w:r>
    </w:p>
    <w:p w:rsidR="007451F9" w:rsidRPr="00E63FFB" w:rsidRDefault="007451F9" w:rsidP="007451F9">
      <w:pPr>
        <w:spacing w:line="240" w:lineRule="auto"/>
        <w:jc w:val="both"/>
        <w:rPr>
          <w:sz w:val="24"/>
          <w:szCs w:val="28"/>
          <w:lang w:val="en-US"/>
        </w:rPr>
      </w:pPr>
      <w:r w:rsidRPr="00E63FFB">
        <w:rPr>
          <w:sz w:val="24"/>
          <w:szCs w:val="28"/>
          <w:lang w:val="en-US"/>
        </w:rPr>
        <w:t>Adcock, R. y Collier, D. (2001). “</w:t>
      </w:r>
      <w:proofErr w:type="spellStart"/>
      <w:r w:rsidRPr="00E63FFB">
        <w:rPr>
          <w:sz w:val="24"/>
          <w:szCs w:val="28"/>
          <w:lang w:val="en-US"/>
        </w:rPr>
        <w:t>Mesurament</w:t>
      </w:r>
      <w:proofErr w:type="spellEnd"/>
      <w:r w:rsidRPr="00E63FFB">
        <w:rPr>
          <w:sz w:val="24"/>
          <w:szCs w:val="28"/>
          <w:lang w:val="en-US"/>
        </w:rPr>
        <w:t xml:space="preserve"> validity: A shared standard for qualitative and quantitative research”. American Political Science Review, 95(3), 529-536.</w:t>
      </w:r>
    </w:p>
    <w:p w:rsidR="007451F9" w:rsidRPr="00E63FFB" w:rsidRDefault="007451F9" w:rsidP="007451F9">
      <w:pPr>
        <w:spacing w:line="240" w:lineRule="auto"/>
        <w:jc w:val="both"/>
        <w:rPr>
          <w:sz w:val="24"/>
          <w:szCs w:val="28"/>
          <w:lang w:val="en-US"/>
        </w:rPr>
      </w:pPr>
      <w:proofErr w:type="gramStart"/>
      <w:r w:rsidRPr="00E63FFB">
        <w:rPr>
          <w:sz w:val="24"/>
          <w:szCs w:val="28"/>
          <w:lang w:val="en-US"/>
        </w:rPr>
        <w:t xml:space="preserve">De </w:t>
      </w:r>
      <w:proofErr w:type="spellStart"/>
      <w:r w:rsidRPr="00E63FFB">
        <w:rPr>
          <w:sz w:val="24"/>
          <w:szCs w:val="28"/>
          <w:lang w:val="en-US"/>
        </w:rPr>
        <w:t>Vaus</w:t>
      </w:r>
      <w:proofErr w:type="spellEnd"/>
      <w:r w:rsidRPr="00E63FFB">
        <w:rPr>
          <w:sz w:val="24"/>
          <w:szCs w:val="28"/>
          <w:lang w:val="en-US"/>
        </w:rPr>
        <w:t>, D. A. (1996).</w:t>
      </w:r>
      <w:proofErr w:type="gramEnd"/>
      <w:r w:rsidRPr="00E63FFB">
        <w:rPr>
          <w:sz w:val="24"/>
          <w:szCs w:val="28"/>
          <w:lang w:val="en-US"/>
        </w:rPr>
        <w:t xml:space="preserve"> </w:t>
      </w:r>
      <w:proofErr w:type="gramStart"/>
      <w:r w:rsidRPr="00E63FFB">
        <w:rPr>
          <w:sz w:val="24"/>
          <w:szCs w:val="28"/>
          <w:lang w:val="en-US"/>
        </w:rPr>
        <w:t>“Developing indicators for concepts”.</w:t>
      </w:r>
      <w:proofErr w:type="gramEnd"/>
      <w:r w:rsidRPr="00E63FFB">
        <w:rPr>
          <w:sz w:val="24"/>
          <w:szCs w:val="28"/>
          <w:lang w:val="en-US"/>
        </w:rPr>
        <w:t xml:space="preserve"> En Surveys in social research. </w:t>
      </w:r>
      <w:proofErr w:type="spellStart"/>
      <w:r w:rsidRPr="00E63FFB">
        <w:rPr>
          <w:sz w:val="24"/>
          <w:szCs w:val="28"/>
          <w:lang w:val="en-US"/>
        </w:rPr>
        <w:t>Londres</w:t>
      </w:r>
      <w:proofErr w:type="spellEnd"/>
      <w:r w:rsidRPr="00E63FFB">
        <w:rPr>
          <w:sz w:val="24"/>
          <w:szCs w:val="28"/>
          <w:lang w:val="en-US"/>
        </w:rPr>
        <w:t>: UCL Press.</w:t>
      </w:r>
    </w:p>
    <w:p w:rsidR="007451F9" w:rsidRPr="00E63FFB" w:rsidRDefault="007451F9" w:rsidP="007451F9">
      <w:pPr>
        <w:spacing w:line="240" w:lineRule="auto"/>
        <w:jc w:val="both"/>
        <w:rPr>
          <w:sz w:val="24"/>
          <w:szCs w:val="28"/>
          <w:lang w:val="en-US"/>
        </w:rPr>
      </w:pPr>
      <w:proofErr w:type="spellStart"/>
      <w:r w:rsidRPr="00E63FFB">
        <w:rPr>
          <w:sz w:val="24"/>
          <w:szCs w:val="28"/>
          <w:lang w:val="en-US"/>
        </w:rPr>
        <w:t>Goertz</w:t>
      </w:r>
      <w:proofErr w:type="spellEnd"/>
      <w:r w:rsidRPr="00E63FFB">
        <w:rPr>
          <w:sz w:val="24"/>
          <w:szCs w:val="28"/>
          <w:lang w:val="en-US"/>
        </w:rPr>
        <w:t xml:space="preserve">, G. (2009). “Points of departure: Intension and extension”. </w:t>
      </w:r>
      <w:proofErr w:type="gramStart"/>
      <w:r w:rsidRPr="00E63FFB">
        <w:rPr>
          <w:sz w:val="24"/>
          <w:szCs w:val="28"/>
          <w:lang w:val="en-US"/>
        </w:rPr>
        <w:t xml:space="preserve">En D. Collier y J. </w:t>
      </w:r>
      <w:proofErr w:type="spellStart"/>
      <w:r w:rsidRPr="00E63FFB">
        <w:rPr>
          <w:sz w:val="24"/>
          <w:szCs w:val="28"/>
          <w:lang w:val="en-US"/>
        </w:rPr>
        <w:t>Gerring</w:t>
      </w:r>
      <w:proofErr w:type="spellEnd"/>
      <w:r w:rsidRPr="00E63FFB">
        <w:rPr>
          <w:sz w:val="24"/>
          <w:szCs w:val="28"/>
          <w:lang w:val="en-US"/>
        </w:rPr>
        <w:t xml:space="preserve"> (eds.), Concepts and method in social science.</w:t>
      </w:r>
      <w:proofErr w:type="gramEnd"/>
      <w:r w:rsidRPr="00E63FFB">
        <w:rPr>
          <w:sz w:val="24"/>
          <w:szCs w:val="28"/>
          <w:lang w:val="en-US"/>
        </w:rPr>
        <w:t xml:space="preserve"> </w:t>
      </w:r>
      <w:proofErr w:type="spellStart"/>
      <w:r w:rsidRPr="00E63FFB">
        <w:rPr>
          <w:sz w:val="24"/>
          <w:szCs w:val="28"/>
          <w:lang w:val="en-US"/>
        </w:rPr>
        <w:t>Londres</w:t>
      </w:r>
      <w:proofErr w:type="spellEnd"/>
      <w:r w:rsidRPr="00E63FFB">
        <w:rPr>
          <w:sz w:val="24"/>
          <w:szCs w:val="28"/>
          <w:lang w:val="en-US"/>
        </w:rPr>
        <w:t xml:space="preserve">: </w:t>
      </w:r>
      <w:proofErr w:type="spellStart"/>
      <w:r w:rsidRPr="00E63FFB">
        <w:rPr>
          <w:sz w:val="24"/>
          <w:szCs w:val="28"/>
          <w:lang w:val="en-US"/>
        </w:rPr>
        <w:t>Routledge</w:t>
      </w:r>
      <w:proofErr w:type="spellEnd"/>
      <w:r w:rsidRPr="00E63FFB">
        <w:rPr>
          <w:sz w:val="24"/>
          <w:szCs w:val="28"/>
          <w:lang w:val="en-US"/>
        </w:rPr>
        <w:t>.</w:t>
      </w:r>
    </w:p>
    <w:p w:rsidR="007451F9" w:rsidRPr="00E63FFB" w:rsidRDefault="007451F9" w:rsidP="007451F9">
      <w:pPr>
        <w:spacing w:line="240" w:lineRule="auto"/>
        <w:jc w:val="both"/>
        <w:rPr>
          <w:sz w:val="24"/>
          <w:szCs w:val="28"/>
          <w:lang w:val="en-US"/>
        </w:rPr>
      </w:pPr>
      <w:proofErr w:type="spellStart"/>
      <w:r w:rsidRPr="00E63FFB">
        <w:rPr>
          <w:sz w:val="24"/>
          <w:szCs w:val="28"/>
          <w:lang w:val="en-US"/>
        </w:rPr>
        <w:t>Goertz</w:t>
      </w:r>
      <w:proofErr w:type="spellEnd"/>
      <w:r w:rsidRPr="00E63FFB">
        <w:rPr>
          <w:sz w:val="24"/>
          <w:szCs w:val="28"/>
          <w:lang w:val="en-US"/>
        </w:rPr>
        <w:t xml:space="preserve">, G. (2006). </w:t>
      </w:r>
      <w:proofErr w:type="gramStart"/>
      <w:r w:rsidRPr="00E63FFB">
        <w:rPr>
          <w:sz w:val="24"/>
          <w:szCs w:val="28"/>
          <w:lang w:val="en-US"/>
        </w:rPr>
        <w:t>Social science concepts.</w:t>
      </w:r>
      <w:proofErr w:type="gramEnd"/>
      <w:r w:rsidRPr="00E63FFB">
        <w:rPr>
          <w:sz w:val="24"/>
          <w:szCs w:val="28"/>
          <w:lang w:val="en-US"/>
        </w:rPr>
        <w:t xml:space="preserve"> A user´s guide. Princeton: Princeton University Press.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r w:rsidRPr="00E63FFB">
        <w:rPr>
          <w:sz w:val="24"/>
          <w:szCs w:val="28"/>
          <w:lang w:val="en-US"/>
        </w:rPr>
        <w:t xml:space="preserve">Collier, D., </w:t>
      </w:r>
      <w:proofErr w:type="spellStart"/>
      <w:r w:rsidRPr="00E63FFB">
        <w:rPr>
          <w:sz w:val="24"/>
          <w:szCs w:val="28"/>
          <w:lang w:val="en-US"/>
        </w:rPr>
        <w:t>LaPorte</w:t>
      </w:r>
      <w:proofErr w:type="spellEnd"/>
      <w:r w:rsidRPr="00E63FFB">
        <w:rPr>
          <w:sz w:val="24"/>
          <w:szCs w:val="28"/>
          <w:lang w:val="en-US"/>
        </w:rPr>
        <w:t xml:space="preserve">, J. y </w:t>
      </w:r>
      <w:proofErr w:type="spellStart"/>
      <w:r w:rsidRPr="00E63FFB">
        <w:rPr>
          <w:sz w:val="24"/>
          <w:szCs w:val="28"/>
          <w:lang w:val="en-US"/>
        </w:rPr>
        <w:t>Seawright</w:t>
      </w:r>
      <w:proofErr w:type="spellEnd"/>
      <w:r w:rsidRPr="00E63FFB">
        <w:rPr>
          <w:sz w:val="24"/>
          <w:szCs w:val="28"/>
          <w:lang w:val="en-US"/>
        </w:rPr>
        <w:t>, J. (2012). “</w:t>
      </w:r>
      <w:proofErr w:type="spellStart"/>
      <w:r w:rsidRPr="00E63FFB">
        <w:rPr>
          <w:sz w:val="24"/>
          <w:szCs w:val="28"/>
          <w:lang w:val="en-US"/>
        </w:rPr>
        <w:t>Puting</w:t>
      </w:r>
      <w:proofErr w:type="spellEnd"/>
      <w:r w:rsidRPr="00E63FFB">
        <w:rPr>
          <w:sz w:val="24"/>
          <w:szCs w:val="28"/>
          <w:lang w:val="en-US"/>
        </w:rPr>
        <w:t xml:space="preserve"> typologies to work: levels of measurement, concept formation, and analytic rigor”. </w:t>
      </w:r>
      <w:proofErr w:type="spellStart"/>
      <w:r w:rsidRPr="001433D0">
        <w:rPr>
          <w:sz w:val="24"/>
          <w:szCs w:val="28"/>
        </w:rPr>
        <w:t>Political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Research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Quartely</w:t>
      </w:r>
      <w:proofErr w:type="spellEnd"/>
      <w:r w:rsidRPr="001433D0">
        <w:rPr>
          <w:sz w:val="24"/>
          <w:szCs w:val="28"/>
        </w:rPr>
        <w:t>, 64(2), 222-228.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>Bibliografía de aplicación: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proofErr w:type="spellStart"/>
      <w:r w:rsidRPr="001433D0">
        <w:rPr>
          <w:sz w:val="24"/>
          <w:szCs w:val="28"/>
        </w:rPr>
        <w:t>Tchintian</w:t>
      </w:r>
      <w:proofErr w:type="spellEnd"/>
      <w:r w:rsidRPr="001433D0">
        <w:rPr>
          <w:sz w:val="24"/>
          <w:szCs w:val="28"/>
        </w:rPr>
        <w:t>, C. (2013). “Los índices de democracia y la política argentina: sobre la validez de las mediciones”. Colección, 23, 69-98.</w:t>
      </w:r>
    </w:p>
    <w:p w:rsidR="007451F9" w:rsidRPr="00E63FFB" w:rsidRDefault="007451F9" w:rsidP="007451F9">
      <w:pPr>
        <w:spacing w:line="240" w:lineRule="auto"/>
        <w:jc w:val="both"/>
        <w:rPr>
          <w:sz w:val="24"/>
          <w:szCs w:val="28"/>
          <w:lang w:val="en-US"/>
        </w:rPr>
      </w:pPr>
      <w:proofErr w:type="spellStart"/>
      <w:r w:rsidRPr="001433D0">
        <w:rPr>
          <w:sz w:val="24"/>
          <w:szCs w:val="28"/>
        </w:rPr>
        <w:t>Sribman</w:t>
      </w:r>
      <w:proofErr w:type="spellEnd"/>
      <w:r w:rsidRPr="001433D0">
        <w:rPr>
          <w:sz w:val="24"/>
          <w:szCs w:val="28"/>
        </w:rPr>
        <w:t xml:space="preserve">, A. (2009). “Claroscuros en la cúspide del poder. </w:t>
      </w:r>
      <w:proofErr w:type="gramStart"/>
      <w:r w:rsidRPr="001433D0">
        <w:rPr>
          <w:sz w:val="24"/>
          <w:szCs w:val="28"/>
        </w:rPr>
        <w:t>los</w:t>
      </w:r>
      <w:proofErr w:type="gramEnd"/>
      <w:r w:rsidRPr="001433D0">
        <w:rPr>
          <w:sz w:val="24"/>
          <w:szCs w:val="28"/>
        </w:rPr>
        <w:t xml:space="preserve"> vicepresidentes argentinos (1983-2009)”. </w:t>
      </w:r>
      <w:r w:rsidRPr="00E63FFB">
        <w:rPr>
          <w:sz w:val="24"/>
          <w:szCs w:val="28"/>
          <w:lang w:val="en-US"/>
        </w:rPr>
        <w:t>Universidad de Salamanca.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proofErr w:type="spellStart"/>
      <w:r w:rsidRPr="00E63FFB">
        <w:rPr>
          <w:sz w:val="24"/>
          <w:szCs w:val="28"/>
          <w:lang w:val="en-US"/>
        </w:rPr>
        <w:t>Kotowski</w:t>
      </w:r>
      <w:proofErr w:type="spellEnd"/>
      <w:r w:rsidRPr="00E63FFB">
        <w:rPr>
          <w:sz w:val="24"/>
          <w:szCs w:val="28"/>
          <w:lang w:val="en-US"/>
        </w:rPr>
        <w:t xml:space="preserve">, C. (2009). </w:t>
      </w:r>
      <w:proofErr w:type="gramStart"/>
      <w:r w:rsidRPr="00E63FFB">
        <w:rPr>
          <w:sz w:val="24"/>
          <w:szCs w:val="28"/>
          <w:lang w:val="en-US"/>
        </w:rPr>
        <w:t>“Revolution”.</w:t>
      </w:r>
      <w:proofErr w:type="gramEnd"/>
      <w:r w:rsidRPr="00E63FFB">
        <w:rPr>
          <w:sz w:val="24"/>
          <w:szCs w:val="28"/>
          <w:lang w:val="en-US"/>
        </w:rPr>
        <w:t xml:space="preserve"> En D. Collier y J. </w:t>
      </w:r>
      <w:proofErr w:type="spellStart"/>
      <w:r w:rsidRPr="00E63FFB">
        <w:rPr>
          <w:sz w:val="24"/>
          <w:szCs w:val="28"/>
          <w:lang w:val="en-US"/>
        </w:rPr>
        <w:t>Gerring</w:t>
      </w:r>
      <w:proofErr w:type="spellEnd"/>
      <w:r w:rsidRPr="00E63FFB">
        <w:rPr>
          <w:sz w:val="24"/>
          <w:szCs w:val="28"/>
          <w:lang w:val="en-US"/>
        </w:rPr>
        <w:t xml:space="preserve"> (</w:t>
      </w:r>
      <w:proofErr w:type="spellStart"/>
      <w:proofErr w:type="gramStart"/>
      <w:r w:rsidRPr="00E63FFB">
        <w:rPr>
          <w:sz w:val="24"/>
          <w:szCs w:val="28"/>
          <w:lang w:val="en-US"/>
        </w:rPr>
        <w:t>eds</w:t>
      </w:r>
      <w:proofErr w:type="spellEnd"/>
      <w:proofErr w:type="gramEnd"/>
      <w:r w:rsidRPr="00E63FFB">
        <w:rPr>
          <w:sz w:val="24"/>
          <w:szCs w:val="28"/>
          <w:lang w:val="en-US"/>
        </w:rPr>
        <w:t xml:space="preserve">), Concept and methods in social science. </w:t>
      </w:r>
      <w:r w:rsidRPr="001433D0">
        <w:rPr>
          <w:sz w:val="24"/>
          <w:szCs w:val="28"/>
        </w:rPr>
        <w:t xml:space="preserve">Londres: </w:t>
      </w:r>
      <w:proofErr w:type="spellStart"/>
      <w:r w:rsidRPr="001433D0">
        <w:rPr>
          <w:sz w:val="24"/>
          <w:szCs w:val="28"/>
        </w:rPr>
        <w:t>Routledge</w:t>
      </w:r>
      <w:proofErr w:type="spellEnd"/>
      <w:r w:rsidRPr="001433D0">
        <w:rPr>
          <w:sz w:val="24"/>
          <w:szCs w:val="28"/>
        </w:rPr>
        <w:t>.</w:t>
      </w:r>
    </w:p>
    <w:p w:rsidR="007451F9" w:rsidRPr="001433D0" w:rsidRDefault="007451F9" w:rsidP="007451F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4"/>
          <w:szCs w:val="28"/>
        </w:rPr>
        <w:t>Unidad 4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>Bibliografía teórica: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proofErr w:type="spellStart"/>
      <w:r w:rsidRPr="001433D0">
        <w:rPr>
          <w:sz w:val="24"/>
          <w:szCs w:val="28"/>
        </w:rPr>
        <w:t>Piovani</w:t>
      </w:r>
      <w:proofErr w:type="spellEnd"/>
      <w:r w:rsidRPr="001433D0">
        <w:rPr>
          <w:sz w:val="24"/>
          <w:szCs w:val="28"/>
        </w:rPr>
        <w:t xml:space="preserve">, J. (2012). “La entrevista en profundidad”. En A. </w:t>
      </w:r>
      <w:proofErr w:type="spellStart"/>
      <w:r w:rsidRPr="001433D0">
        <w:rPr>
          <w:sz w:val="24"/>
          <w:szCs w:val="28"/>
        </w:rPr>
        <w:t>Marradi</w:t>
      </w:r>
      <w:proofErr w:type="spellEnd"/>
      <w:r w:rsidRPr="001433D0">
        <w:rPr>
          <w:sz w:val="24"/>
          <w:szCs w:val="28"/>
        </w:rPr>
        <w:t xml:space="preserve">, N. </w:t>
      </w:r>
      <w:proofErr w:type="spellStart"/>
      <w:r w:rsidRPr="001433D0">
        <w:rPr>
          <w:sz w:val="24"/>
          <w:szCs w:val="28"/>
        </w:rPr>
        <w:t>Archenti</w:t>
      </w:r>
      <w:proofErr w:type="spellEnd"/>
      <w:r w:rsidRPr="001433D0">
        <w:rPr>
          <w:sz w:val="24"/>
          <w:szCs w:val="28"/>
        </w:rPr>
        <w:t xml:space="preserve"> y J. </w:t>
      </w:r>
      <w:proofErr w:type="spellStart"/>
      <w:r w:rsidRPr="001433D0">
        <w:rPr>
          <w:sz w:val="24"/>
          <w:szCs w:val="28"/>
        </w:rPr>
        <w:t>Piovani</w:t>
      </w:r>
      <w:proofErr w:type="spellEnd"/>
      <w:r w:rsidRPr="001433D0">
        <w:rPr>
          <w:sz w:val="24"/>
          <w:szCs w:val="28"/>
        </w:rPr>
        <w:t>, Manual de Metodología de las Ciencias Sociales. Buenos Aires: Siglo Veintiuno Editores.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proofErr w:type="spellStart"/>
      <w:r w:rsidRPr="001433D0">
        <w:rPr>
          <w:sz w:val="24"/>
          <w:szCs w:val="28"/>
        </w:rPr>
        <w:t>Archenti</w:t>
      </w:r>
      <w:proofErr w:type="spellEnd"/>
      <w:r w:rsidRPr="001433D0">
        <w:rPr>
          <w:sz w:val="24"/>
          <w:szCs w:val="28"/>
        </w:rPr>
        <w:t>, N. (2012). “</w:t>
      </w:r>
      <w:proofErr w:type="spellStart"/>
      <w:r w:rsidRPr="001433D0">
        <w:rPr>
          <w:sz w:val="24"/>
          <w:szCs w:val="28"/>
        </w:rPr>
        <w:t>Focus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group</w:t>
      </w:r>
      <w:proofErr w:type="spellEnd"/>
      <w:r w:rsidRPr="001433D0">
        <w:rPr>
          <w:sz w:val="24"/>
          <w:szCs w:val="28"/>
        </w:rPr>
        <w:t xml:space="preserve"> y otras formas de entrevista grupal”. En A. </w:t>
      </w:r>
      <w:proofErr w:type="spellStart"/>
      <w:r w:rsidRPr="001433D0">
        <w:rPr>
          <w:sz w:val="24"/>
          <w:szCs w:val="28"/>
        </w:rPr>
        <w:t>Marradi</w:t>
      </w:r>
      <w:proofErr w:type="spellEnd"/>
      <w:r w:rsidRPr="001433D0">
        <w:rPr>
          <w:sz w:val="24"/>
          <w:szCs w:val="28"/>
        </w:rPr>
        <w:t xml:space="preserve">, N. </w:t>
      </w:r>
      <w:proofErr w:type="spellStart"/>
      <w:r w:rsidRPr="001433D0">
        <w:rPr>
          <w:sz w:val="24"/>
          <w:szCs w:val="28"/>
        </w:rPr>
        <w:t>Archenti</w:t>
      </w:r>
      <w:proofErr w:type="spellEnd"/>
      <w:r w:rsidRPr="001433D0">
        <w:rPr>
          <w:sz w:val="24"/>
          <w:szCs w:val="28"/>
        </w:rPr>
        <w:t xml:space="preserve"> y J. </w:t>
      </w:r>
      <w:proofErr w:type="spellStart"/>
      <w:r w:rsidRPr="001433D0">
        <w:rPr>
          <w:sz w:val="24"/>
          <w:szCs w:val="28"/>
        </w:rPr>
        <w:t>Piovani</w:t>
      </w:r>
      <w:proofErr w:type="spellEnd"/>
      <w:r w:rsidRPr="001433D0">
        <w:rPr>
          <w:sz w:val="24"/>
          <w:szCs w:val="28"/>
        </w:rPr>
        <w:t>, Manual de Metodología de las Ciencias Sociales. Buenos Aires: Siglo Veintiuno Editores.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proofErr w:type="spellStart"/>
      <w:r w:rsidRPr="001433D0">
        <w:rPr>
          <w:sz w:val="24"/>
          <w:szCs w:val="28"/>
        </w:rPr>
        <w:t>Piovani</w:t>
      </w:r>
      <w:proofErr w:type="spellEnd"/>
      <w:r w:rsidRPr="001433D0">
        <w:rPr>
          <w:sz w:val="24"/>
          <w:szCs w:val="28"/>
        </w:rPr>
        <w:t xml:space="preserve">, J. (2012). “Otras formas de análisis”. En A. </w:t>
      </w:r>
      <w:proofErr w:type="spellStart"/>
      <w:r w:rsidRPr="001433D0">
        <w:rPr>
          <w:sz w:val="24"/>
          <w:szCs w:val="28"/>
        </w:rPr>
        <w:t>Marradi</w:t>
      </w:r>
      <w:proofErr w:type="spellEnd"/>
      <w:r w:rsidRPr="001433D0">
        <w:rPr>
          <w:sz w:val="24"/>
          <w:szCs w:val="28"/>
        </w:rPr>
        <w:t xml:space="preserve">, N. </w:t>
      </w:r>
      <w:proofErr w:type="spellStart"/>
      <w:r w:rsidRPr="001433D0">
        <w:rPr>
          <w:sz w:val="24"/>
          <w:szCs w:val="28"/>
        </w:rPr>
        <w:t>Archenti</w:t>
      </w:r>
      <w:proofErr w:type="spellEnd"/>
      <w:r w:rsidRPr="001433D0">
        <w:rPr>
          <w:sz w:val="24"/>
          <w:szCs w:val="28"/>
        </w:rPr>
        <w:t xml:space="preserve"> y J. </w:t>
      </w:r>
      <w:proofErr w:type="spellStart"/>
      <w:r w:rsidRPr="001433D0">
        <w:rPr>
          <w:sz w:val="24"/>
          <w:szCs w:val="28"/>
        </w:rPr>
        <w:t>Piovani</w:t>
      </w:r>
      <w:proofErr w:type="spellEnd"/>
      <w:r w:rsidRPr="001433D0">
        <w:rPr>
          <w:sz w:val="24"/>
          <w:szCs w:val="28"/>
        </w:rPr>
        <w:t>, Manual de Metodología de las Ciencias Sociales. Buenos Aires: Siglo Veintiuno Editores.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>Bibliografía de aplicación: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proofErr w:type="spellStart"/>
      <w:r w:rsidRPr="001433D0">
        <w:rPr>
          <w:sz w:val="24"/>
          <w:szCs w:val="28"/>
        </w:rPr>
        <w:t>Arcidiácono</w:t>
      </w:r>
      <w:proofErr w:type="spellEnd"/>
      <w:r w:rsidRPr="001433D0">
        <w:rPr>
          <w:sz w:val="24"/>
          <w:szCs w:val="28"/>
        </w:rPr>
        <w:t>, P. (2012). “Políticas sociales y bienestar en Argentina 2002-2009. Entre el trabajo asalariado y los programas sociales”. Revista SAAP, 6(2), 319-331.</w:t>
      </w:r>
    </w:p>
    <w:p w:rsidR="007451F9" w:rsidRPr="001433D0" w:rsidRDefault="007451F9" w:rsidP="007451F9">
      <w:pPr>
        <w:spacing w:line="240" w:lineRule="auto"/>
        <w:jc w:val="both"/>
        <w:rPr>
          <w:sz w:val="24"/>
          <w:szCs w:val="28"/>
        </w:rPr>
      </w:pPr>
      <w:proofErr w:type="spellStart"/>
      <w:r w:rsidRPr="001433D0">
        <w:rPr>
          <w:sz w:val="24"/>
          <w:szCs w:val="28"/>
        </w:rPr>
        <w:t>Zarazaga</w:t>
      </w:r>
      <w:proofErr w:type="spellEnd"/>
      <w:r w:rsidRPr="001433D0">
        <w:rPr>
          <w:sz w:val="24"/>
          <w:szCs w:val="28"/>
        </w:rPr>
        <w:t xml:space="preserve">, R. (2015). “Los punteros como red de política social”. </w:t>
      </w:r>
      <w:proofErr w:type="spellStart"/>
      <w:r w:rsidRPr="001433D0">
        <w:rPr>
          <w:sz w:val="24"/>
          <w:szCs w:val="28"/>
        </w:rPr>
        <w:t>POSTData</w:t>
      </w:r>
      <w:proofErr w:type="spellEnd"/>
      <w:r w:rsidRPr="001433D0">
        <w:rPr>
          <w:sz w:val="24"/>
          <w:szCs w:val="28"/>
        </w:rPr>
        <w:t>, 20(1), 11-29.</w:t>
      </w:r>
    </w:p>
    <w:p w:rsidR="007451F9" w:rsidRDefault="007451F9">
      <w:pPr>
        <w:spacing w:line="240" w:lineRule="auto"/>
        <w:jc w:val="both"/>
        <w:rPr>
          <w:b/>
          <w:sz w:val="24"/>
          <w:szCs w:val="28"/>
        </w:rPr>
      </w:pPr>
    </w:p>
    <w:p w:rsidR="001433D0" w:rsidRPr="001433D0" w:rsidRDefault="007451F9">
      <w:pPr>
        <w:spacing w:line="24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Unidad 5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 xml:space="preserve">Bibliografía teórica: 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proofErr w:type="spellStart"/>
      <w:r w:rsidRPr="001433D0">
        <w:rPr>
          <w:sz w:val="24"/>
          <w:szCs w:val="28"/>
        </w:rPr>
        <w:t>Kohn</w:t>
      </w:r>
      <w:proofErr w:type="spellEnd"/>
      <w:r w:rsidRPr="001433D0">
        <w:rPr>
          <w:sz w:val="24"/>
          <w:szCs w:val="28"/>
        </w:rPr>
        <w:t xml:space="preserve">, M. (1987). </w:t>
      </w:r>
      <w:r w:rsidRPr="00E63FFB">
        <w:rPr>
          <w:sz w:val="24"/>
          <w:szCs w:val="28"/>
          <w:lang w:val="en-US"/>
        </w:rPr>
        <w:t xml:space="preserve">“Cross-national research as an analytic strategy”. </w:t>
      </w:r>
      <w:r w:rsidRPr="001433D0">
        <w:rPr>
          <w:sz w:val="24"/>
          <w:szCs w:val="28"/>
        </w:rPr>
        <w:t xml:space="preserve">American </w:t>
      </w:r>
      <w:proofErr w:type="spellStart"/>
      <w:r w:rsidRPr="001433D0">
        <w:rPr>
          <w:sz w:val="24"/>
          <w:szCs w:val="28"/>
        </w:rPr>
        <w:t>Sociological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Review</w:t>
      </w:r>
      <w:proofErr w:type="spellEnd"/>
      <w:r w:rsidRPr="001433D0">
        <w:rPr>
          <w:sz w:val="24"/>
          <w:szCs w:val="28"/>
        </w:rPr>
        <w:t>, 52, 713-731.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proofErr w:type="spellStart"/>
      <w:r w:rsidRPr="001433D0">
        <w:rPr>
          <w:sz w:val="24"/>
          <w:szCs w:val="28"/>
        </w:rPr>
        <w:t>Piovani</w:t>
      </w:r>
      <w:proofErr w:type="spellEnd"/>
      <w:r w:rsidRPr="001433D0">
        <w:rPr>
          <w:sz w:val="24"/>
          <w:szCs w:val="28"/>
        </w:rPr>
        <w:t>, J. I. (2003) “Acerca del status de la comparación en ciencia política”. VI Congreso Argentino de Ciencia Política. SAAP-UNR.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proofErr w:type="spellStart"/>
      <w:r w:rsidRPr="001433D0">
        <w:rPr>
          <w:sz w:val="24"/>
          <w:szCs w:val="28"/>
        </w:rPr>
        <w:t>Lijphart</w:t>
      </w:r>
      <w:proofErr w:type="spellEnd"/>
      <w:r w:rsidRPr="001433D0">
        <w:rPr>
          <w:sz w:val="24"/>
          <w:szCs w:val="28"/>
        </w:rPr>
        <w:t>, A. (1971) “</w:t>
      </w:r>
      <w:proofErr w:type="spellStart"/>
      <w:r w:rsidRPr="001433D0">
        <w:rPr>
          <w:sz w:val="24"/>
          <w:szCs w:val="28"/>
        </w:rPr>
        <w:t>Comparative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politics</w:t>
      </w:r>
      <w:proofErr w:type="spellEnd"/>
      <w:r w:rsidRPr="001433D0">
        <w:rPr>
          <w:sz w:val="24"/>
          <w:szCs w:val="28"/>
        </w:rPr>
        <w:t xml:space="preserve"> and </w:t>
      </w:r>
      <w:proofErr w:type="spellStart"/>
      <w:r w:rsidRPr="001433D0">
        <w:rPr>
          <w:sz w:val="24"/>
          <w:szCs w:val="28"/>
        </w:rPr>
        <w:t>the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comparative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method</w:t>
      </w:r>
      <w:proofErr w:type="spellEnd"/>
      <w:r w:rsidRPr="001433D0">
        <w:rPr>
          <w:sz w:val="24"/>
          <w:szCs w:val="28"/>
        </w:rPr>
        <w:t xml:space="preserve">”. American </w:t>
      </w:r>
      <w:proofErr w:type="spellStart"/>
      <w:r w:rsidRPr="001433D0">
        <w:rPr>
          <w:sz w:val="24"/>
          <w:szCs w:val="28"/>
        </w:rPr>
        <w:t>Political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Science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Review</w:t>
      </w:r>
      <w:proofErr w:type="spellEnd"/>
      <w:r w:rsidRPr="001433D0">
        <w:rPr>
          <w:sz w:val="24"/>
          <w:szCs w:val="28"/>
        </w:rPr>
        <w:t>, 65(3), 682‐693.</w:t>
      </w:r>
    </w:p>
    <w:p w:rsidR="001433D0" w:rsidRPr="00E63FFB" w:rsidRDefault="001433D0" w:rsidP="001433D0">
      <w:pPr>
        <w:spacing w:line="240" w:lineRule="auto"/>
        <w:jc w:val="both"/>
        <w:rPr>
          <w:sz w:val="24"/>
          <w:szCs w:val="28"/>
          <w:lang w:val="en-US"/>
        </w:rPr>
      </w:pPr>
      <w:proofErr w:type="spellStart"/>
      <w:r w:rsidRPr="001433D0">
        <w:rPr>
          <w:sz w:val="24"/>
          <w:szCs w:val="28"/>
        </w:rPr>
        <w:t>Perez</w:t>
      </w:r>
      <w:proofErr w:type="spellEnd"/>
      <w:r w:rsidRPr="001433D0">
        <w:rPr>
          <w:sz w:val="24"/>
          <w:szCs w:val="28"/>
        </w:rPr>
        <w:t xml:space="preserve">‐Liñán, A- (2009). “El método comparativo y el análisis de configuraciones causales”. </w:t>
      </w:r>
      <w:r w:rsidRPr="00E63FFB">
        <w:rPr>
          <w:sz w:val="24"/>
          <w:szCs w:val="28"/>
          <w:lang w:val="en-US"/>
        </w:rPr>
        <w:t>Working Paper. University of Pittsburgh.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proofErr w:type="spellStart"/>
      <w:r w:rsidRPr="00E63FFB">
        <w:rPr>
          <w:sz w:val="24"/>
          <w:szCs w:val="28"/>
          <w:lang w:val="en-US"/>
        </w:rPr>
        <w:t>Przeworsky</w:t>
      </w:r>
      <w:proofErr w:type="spellEnd"/>
      <w:r w:rsidRPr="00E63FFB">
        <w:rPr>
          <w:sz w:val="24"/>
          <w:szCs w:val="28"/>
          <w:lang w:val="en-US"/>
        </w:rPr>
        <w:t xml:space="preserve">, A. y </w:t>
      </w:r>
      <w:proofErr w:type="spellStart"/>
      <w:r w:rsidRPr="00E63FFB">
        <w:rPr>
          <w:sz w:val="24"/>
          <w:szCs w:val="28"/>
          <w:lang w:val="en-US"/>
        </w:rPr>
        <w:t>Teune</w:t>
      </w:r>
      <w:proofErr w:type="spellEnd"/>
      <w:r w:rsidRPr="00E63FFB">
        <w:rPr>
          <w:sz w:val="24"/>
          <w:szCs w:val="28"/>
          <w:lang w:val="en-US"/>
        </w:rPr>
        <w:t xml:space="preserve">, H. (1970). “Research Design”. En A. </w:t>
      </w:r>
      <w:proofErr w:type="spellStart"/>
      <w:r w:rsidRPr="00E63FFB">
        <w:rPr>
          <w:sz w:val="24"/>
          <w:szCs w:val="28"/>
          <w:lang w:val="en-US"/>
        </w:rPr>
        <w:t>Przeworski</w:t>
      </w:r>
      <w:proofErr w:type="spellEnd"/>
      <w:r w:rsidRPr="00E63FFB">
        <w:rPr>
          <w:sz w:val="24"/>
          <w:szCs w:val="28"/>
          <w:lang w:val="en-US"/>
        </w:rPr>
        <w:t xml:space="preserve"> y H. </w:t>
      </w:r>
      <w:proofErr w:type="spellStart"/>
      <w:r w:rsidRPr="00E63FFB">
        <w:rPr>
          <w:sz w:val="24"/>
          <w:szCs w:val="28"/>
          <w:lang w:val="en-US"/>
        </w:rPr>
        <w:t>Teune</w:t>
      </w:r>
      <w:proofErr w:type="spellEnd"/>
      <w:r w:rsidRPr="00E63FFB">
        <w:rPr>
          <w:sz w:val="24"/>
          <w:szCs w:val="28"/>
          <w:lang w:val="en-US"/>
        </w:rPr>
        <w:t xml:space="preserve">, The logic of comparative social inquiry. </w:t>
      </w:r>
      <w:r w:rsidRPr="001433D0">
        <w:rPr>
          <w:sz w:val="24"/>
          <w:szCs w:val="28"/>
        </w:rPr>
        <w:t xml:space="preserve">Nueva York: </w:t>
      </w:r>
      <w:proofErr w:type="spellStart"/>
      <w:r w:rsidRPr="001433D0">
        <w:rPr>
          <w:sz w:val="24"/>
          <w:szCs w:val="28"/>
        </w:rPr>
        <w:t>Wiley-Interscience</w:t>
      </w:r>
      <w:proofErr w:type="spellEnd"/>
      <w:r w:rsidRPr="001433D0">
        <w:rPr>
          <w:sz w:val="24"/>
          <w:szCs w:val="28"/>
        </w:rPr>
        <w:t>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 xml:space="preserve">Sartori, G. (2002). “Comparación y método comparativo”. En G. Sartori y L. </w:t>
      </w:r>
      <w:proofErr w:type="spellStart"/>
      <w:r w:rsidRPr="001433D0">
        <w:rPr>
          <w:sz w:val="24"/>
          <w:szCs w:val="28"/>
        </w:rPr>
        <w:t>Morlino</w:t>
      </w:r>
      <w:proofErr w:type="spellEnd"/>
      <w:r w:rsidRPr="001433D0">
        <w:rPr>
          <w:sz w:val="24"/>
          <w:szCs w:val="28"/>
        </w:rPr>
        <w:t xml:space="preserve"> (</w:t>
      </w:r>
      <w:proofErr w:type="spellStart"/>
      <w:r w:rsidRPr="001433D0">
        <w:rPr>
          <w:sz w:val="24"/>
          <w:szCs w:val="28"/>
        </w:rPr>
        <w:t>comps</w:t>
      </w:r>
      <w:proofErr w:type="spellEnd"/>
      <w:r w:rsidRPr="001433D0">
        <w:rPr>
          <w:sz w:val="24"/>
          <w:szCs w:val="28"/>
        </w:rPr>
        <w:t>.), La comparación en las ciencias sociales. Madrid: Alianza Editorial.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>Bibliografía de aplicación:</w:t>
      </w:r>
    </w:p>
    <w:p w:rsidR="001433D0" w:rsidRPr="00E63FFB" w:rsidRDefault="001433D0" w:rsidP="001433D0">
      <w:pPr>
        <w:spacing w:line="240" w:lineRule="auto"/>
        <w:jc w:val="both"/>
        <w:rPr>
          <w:sz w:val="24"/>
          <w:szCs w:val="28"/>
          <w:lang w:val="en-US"/>
        </w:rPr>
      </w:pPr>
      <w:proofErr w:type="spellStart"/>
      <w:r w:rsidRPr="001433D0">
        <w:rPr>
          <w:sz w:val="24"/>
          <w:szCs w:val="28"/>
        </w:rPr>
        <w:t>Skocpol</w:t>
      </w:r>
      <w:proofErr w:type="spellEnd"/>
      <w:r w:rsidRPr="001433D0">
        <w:rPr>
          <w:sz w:val="24"/>
          <w:szCs w:val="28"/>
        </w:rPr>
        <w:t xml:space="preserve"> T. (1979). </w:t>
      </w:r>
      <w:proofErr w:type="spellStart"/>
      <w:r w:rsidRPr="001433D0">
        <w:rPr>
          <w:sz w:val="24"/>
          <w:szCs w:val="28"/>
        </w:rPr>
        <w:t>States</w:t>
      </w:r>
      <w:proofErr w:type="spellEnd"/>
      <w:r w:rsidRPr="001433D0">
        <w:rPr>
          <w:sz w:val="24"/>
          <w:szCs w:val="28"/>
        </w:rPr>
        <w:t xml:space="preserve"> and social </w:t>
      </w:r>
      <w:proofErr w:type="spellStart"/>
      <w:r w:rsidRPr="001433D0">
        <w:rPr>
          <w:sz w:val="24"/>
          <w:szCs w:val="28"/>
        </w:rPr>
        <w:t>revolutions</w:t>
      </w:r>
      <w:proofErr w:type="spellEnd"/>
      <w:r w:rsidRPr="001433D0">
        <w:rPr>
          <w:sz w:val="24"/>
          <w:szCs w:val="28"/>
        </w:rPr>
        <w:t xml:space="preserve">: A </w:t>
      </w:r>
      <w:proofErr w:type="spellStart"/>
      <w:r w:rsidRPr="001433D0">
        <w:rPr>
          <w:sz w:val="24"/>
          <w:szCs w:val="28"/>
        </w:rPr>
        <w:t>comparative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analysis</w:t>
      </w:r>
      <w:proofErr w:type="spellEnd"/>
      <w:r w:rsidRPr="001433D0">
        <w:rPr>
          <w:sz w:val="24"/>
          <w:szCs w:val="28"/>
        </w:rPr>
        <w:t xml:space="preserve"> of France, </w:t>
      </w:r>
      <w:proofErr w:type="spellStart"/>
      <w:r w:rsidRPr="001433D0">
        <w:rPr>
          <w:sz w:val="24"/>
          <w:szCs w:val="28"/>
        </w:rPr>
        <w:t>Russia</w:t>
      </w:r>
      <w:proofErr w:type="spellEnd"/>
      <w:r w:rsidRPr="001433D0">
        <w:rPr>
          <w:sz w:val="24"/>
          <w:szCs w:val="28"/>
        </w:rPr>
        <w:t xml:space="preserve">, and China. </w:t>
      </w:r>
      <w:r w:rsidRPr="00E63FFB">
        <w:rPr>
          <w:sz w:val="24"/>
          <w:szCs w:val="28"/>
          <w:lang w:val="en-US"/>
        </w:rPr>
        <w:t>New York y Cambridge: Cambridge University Press.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E63FFB">
        <w:rPr>
          <w:sz w:val="24"/>
          <w:szCs w:val="28"/>
          <w:lang w:val="en-US"/>
        </w:rPr>
        <w:t xml:space="preserve">Moore, B. (1966). Social origins of dictatorship and democracy: Lord and peasant in the making of the modern world. </w:t>
      </w:r>
      <w:r w:rsidRPr="001433D0">
        <w:rPr>
          <w:sz w:val="24"/>
          <w:szCs w:val="28"/>
        </w:rPr>
        <w:t xml:space="preserve">Boston: </w:t>
      </w:r>
      <w:proofErr w:type="spellStart"/>
      <w:r w:rsidRPr="001433D0">
        <w:rPr>
          <w:sz w:val="24"/>
          <w:szCs w:val="28"/>
        </w:rPr>
        <w:t>Beacon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Press</w:t>
      </w:r>
      <w:proofErr w:type="spellEnd"/>
      <w:r w:rsidRPr="001433D0">
        <w:rPr>
          <w:sz w:val="24"/>
          <w:szCs w:val="28"/>
        </w:rPr>
        <w:t>.</w:t>
      </w:r>
    </w:p>
    <w:p w:rsidR="001433D0" w:rsidRPr="001433D0" w:rsidRDefault="001433D0" w:rsidP="001433D0">
      <w:pPr>
        <w:spacing w:line="240" w:lineRule="auto"/>
        <w:jc w:val="both"/>
        <w:rPr>
          <w:b/>
          <w:sz w:val="24"/>
          <w:szCs w:val="28"/>
        </w:rPr>
      </w:pPr>
      <w:r w:rsidRPr="001433D0">
        <w:rPr>
          <w:b/>
          <w:sz w:val="24"/>
          <w:szCs w:val="28"/>
        </w:rPr>
        <w:t>Unidad 6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>Bibliografía teórica: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 xml:space="preserve">López-Roldán, P. y </w:t>
      </w:r>
      <w:proofErr w:type="spellStart"/>
      <w:r w:rsidRPr="001433D0">
        <w:rPr>
          <w:sz w:val="24"/>
          <w:szCs w:val="28"/>
        </w:rPr>
        <w:t>Fachelli</w:t>
      </w:r>
      <w:proofErr w:type="spellEnd"/>
      <w:r w:rsidRPr="001433D0">
        <w:rPr>
          <w:sz w:val="24"/>
          <w:szCs w:val="28"/>
        </w:rPr>
        <w:t xml:space="preserve">, S. (2015). “Análisis descriptivo de datos con una variable”. En P. López-Roldán y S. </w:t>
      </w:r>
      <w:proofErr w:type="spellStart"/>
      <w:r w:rsidRPr="001433D0">
        <w:rPr>
          <w:sz w:val="24"/>
          <w:szCs w:val="28"/>
        </w:rPr>
        <w:t>Fachelli</w:t>
      </w:r>
      <w:proofErr w:type="spellEnd"/>
      <w:r w:rsidRPr="001433D0">
        <w:rPr>
          <w:sz w:val="24"/>
          <w:szCs w:val="28"/>
        </w:rPr>
        <w:t xml:space="preserve">, Metodología de la Investigación Social Cuantitativa. Barcelona: </w:t>
      </w:r>
      <w:proofErr w:type="spellStart"/>
      <w:r w:rsidRPr="001433D0">
        <w:rPr>
          <w:sz w:val="24"/>
          <w:szCs w:val="28"/>
        </w:rPr>
        <w:t>Universitat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Autònoma</w:t>
      </w:r>
      <w:proofErr w:type="spellEnd"/>
      <w:r w:rsidRPr="001433D0">
        <w:rPr>
          <w:sz w:val="24"/>
          <w:szCs w:val="28"/>
        </w:rPr>
        <w:t xml:space="preserve"> de Barcelona.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proofErr w:type="spellStart"/>
      <w:r w:rsidRPr="001433D0">
        <w:rPr>
          <w:sz w:val="24"/>
          <w:szCs w:val="28"/>
        </w:rPr>
        <w:t>Marradi</w:t>
      </w:r>
      <w:proofErr w:type="spellEnd"/>
      <w:r w:rsidRPr="001433D0">
        <w:rPr>
          <w:sz w:val="24"/>
          <w:szCs w:val="28"/>
        </w:rPr>
        <w:t xml:space="preserve">, A. (2012). “El análisis </w:t>
      </w:r>
      <w:proofErr w:type="spellStart"/>
      <w:r w:rsidRPr="001433D0">
        <w:rPr>
          <w:sz w:val="24"/>
          <w:szCs w:val="28"/>
        </w:rPr>
        <w:t>bivariable</w:t>
      </w:r>
      <w:proofErr w:type="spellEnd"/>
      <w:r w:rsidRPr="001433D0">
        <w:rPr>
          <w:sz w:val="24"/>
          <w:szCs w:val="28"/>
        </w:rPr>
        <w:t xml:space="preserve">”. En A. </w:t>
      </w:r>
      <w:proofErr w:type="spellStart"/>
      <w:r w:rsidRPr="001433D0">
        <w:rPr>
          <w:sz w:val="24"/>
          <w:szCs w:val="28"/>
        </w:rPr>
        <w:t>Marradi</w:t>
      </w:r>
      <w:proofErr w:type="spellEnd"/>
      <w:r w:rsidRPr="001433D0">
        <w:rPr>
          <w:sz w:val="24"/>
          <w:szCs w:val="28"/>
        </w:rPr>
        <w:t xml:space="preserve">, N. </w:t>
      </w:r>
      <w:proofErr w:type="spellStart"/>
      <w:r w:rsidRPr="001433D0">
        <w:rPr>
          <w:sz w:val="24"/>
          <w:szCs w:val="28"/>
        </w:rPr>
        <w:t>Archenti</w:t>
      </w:r>
      <w:proofErr w:type="spellEnd"/>
      <w:r w:rsidRPr="001433D0">
        <w:rPr>
          <w:sz w:val="24"/>
          <w:szCs w:val="28"/>
        </w:rPr>
        <w:t xml:space="preserve"> y J. </w:t>
      </w:r>
      <w:proofErr w:type="spellStart"/>
      <w:r w:rsidRPr="001433D0">
        <w:rPr>
          <w:sz w:val="24"/>
          <w:szCs w:val="28"/>
        </w:rPr>
        <w:t>Piovani</w:t>
      </w:r>
      <w:proofErr w:type="spellEnd"/>
      <w:r w:rsidRPr="001433D0">
        <w:rPr>
          <w:sz w:val="24"/>
          <w:szCs w:val="28"/>
        </w:rPr>
        <w:t>, Manual de Metodología de las Ciencias Sociales. Buenos Aires: Siglo Veintiuno Editores.</w:t>
      </w:r>
    </w:p>
    <w:p w:rsid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 xml:space="preserve">López-Roldán, P. y </w:t>
      </w:r>
      <w:proofErr w:type="spellStart"/>
      <w:r w:rsidRPr="001433D0">
        <w:rPr>
          <w:sz w:val="24"/>
          <w:szCs w:val="28"/>
        </w:rPr>
        <w:t>Fachelli</w:t>
      </w:r>
      <w:proofErr w:type="spellEnd"/>
      <w:r w:rsidRPr="001433D0">
        <w:rPr>
          <w:sz w:val="24"/>
          <w:szCs w:val="28"/>
        </w:rPr>
        <w:t xml:space="preserve">, S. (2015). “Clasificación de las técnicas de análisis de datos”. En P. López-Roldán y S. </w:t>
      </w:r>
      <w:proofErr w:type="spellStart"/>
      <w:r w:rsidRPr="001433D0">
        <w:rPr>
          <w:sz w:val="24"/>
          <w:szCs w:val="28"/>
        </w:rPr>
        <w:t>Fachelli</w:t>
      </w:r>
      <w:proofErr w:type="spellEnd"/>
      <w:r w:rsidRPr="001433D0">
        <w:rPr>
          <w:sz w:val="24"/>
          <w:szCs w:val="28"/>
        </w:rPr>
        <w:t xml:space="preserve">, Metodología de la Investigación Social Cuantitativa. Barcelona: </w:t>
      </w:r>
      <w:proofErr w:type="spellStart"/>
      <w:r w:rsidRPr="001433D0">
        <w:rPr>
          <w:sz w:val="24"/>
          <w:szCs w:val="28"/>
        </w:rPr>
        <w:t>Universitat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Autònoma</w:t>
      </w:r>
      <w:proofErr w:type="spellEnd"/>
      <w:r w:rsidRPr="001433D0">
        <w:rPr>
          <w:sz w:val="24"/>
          <w:szCs w:val="28"/>
        </w:rPr>
        <w:t xml:space="preserve"> de Barcelona.</w:t>
      </w:r>
    </w:p>
    <w:p w:rsidR="006B2750" w:rsidRPr="006B2750" w:rsidRDefault="006B2750" w:rsidP="006B2750">
      <w:pPr>
        <w:spacing w:line="240" w:lineRule="auto"/>
        <w:jc w:val="both"/>
        <w:rPr>
          <w:sz w:val="24"/>
          <w:szCs w:val="28"/>
        </w:rPr>
      </w:pPr>
      <w:proofErr w:type="spellStart"/>
      <w:r w:rsidRPr="006B2750">
        <w:rPr>
          <w:sz w:val="24"/>
          <w:szCs w:val="28"/>
        </w:rPr>
        <w:t>Weisberg</w:t>
      </w:r>
      <w:proofErr w:type="spellEnd"/>
      <w:r w:rsidRPr="006B2750">
        <w:rPr>
          <w:sz w:val="24"/>
          <w:szCs w:val="28"/>
        </w:rPr>
        <w:t xml:space="preserve">, H. F. (2009). </w:t>
      </w:r>
      <w:proofErr w:type="spellStart"/>
      <w:r w:rsidRPr="006B2750">
        <w:rPr>
          <w:sz w:val="24"/>
          <w:szCs w:val="28"/>
        </w:rPr>
        <w:t>The</w:t>
      </w:r>
      <w:proofErr w:type="spellEnd"/>
      <w:r w:rsidRPr="006B2750">
        <w:rPr>
          <w:sz w:val="24"/>
          <w:szCs w:val="28"/>
        </w:rPr>
        <w:t xml:space="preserve"> Total </w:t>
      </w:r>
      <w:proofErr w:type="spellStart"/>
      <w:r w:rsidRPr="006B2750">
        <w:rPr>
          <w:sz w:val="24"/>
          <w:szCs w:val="28"/>
        </w:rPr>
        <w:t>Survey</w:t>
      </w:r>
      <w:proofErr w:type="spellEnd"/>
      <w:r w:rsidRPr="006B2750">
        <w:rPr>
          <w:sz w:val="24"/>
          <w:szCs w:val="28"/>
        </w:rPr>
        <w:t xml:space="preserve"> Error </w:t>
      </w:r>
      <w:proofErr w:type="spellStart"/>
      <w:r w:rsidRPr="006B2750">
        <w:rPr>
          <w:sz w:val="24"/>
          <w:szCs w:val="28"/>
        </w:rPr>
        <w:t>Approach</w:t>
      </w:r>
      <w:proofErr w:type="spellEnd"/>
      <w:r w:rsidRPr="006B2750">
        <w:rPr>
          <w:sz w:val="24"/>
          <w:szCs w:val="28"/>
        </w:rPr>
        <w:t xml:space="preserve">: A Guide </w:t>
      </w:r>
      <w:proofErr w:type="spellStart"/>
      <w:r w:rsidRPr="006B2750">
        <w:rPr>
          <w:sz w:val="24"/>
          <w:szCs w:val="28"/>
        </w:rPr>
        <w:t>to</w:t>
      </w:r>
      <w:proofErr w:type="spellEnd"/>
      <w:r w:rsidRPr="006B2750">
        <w:rPr>
          <w:sz w:val="24"/>
          <w:szCs w:val="28"/>
        </w:rPr>
        <w:t xml:space="preserve"> </w:t>
      </w:r>
      <w:proofErr w:type="spellStart"/>
      <w:r w:rsidRPr="006B2750">
        <w:rPr>
          <w:sz w:val="24"/>
          <w:szCs w:val="28"/>
        </w:rPr>
        <w:t>the</w:t>
      </w:r>
      <w:proofErr w:type="spellEnd"/>
      <w:r w:rsidRPr="006B2750">
        <w:rPr>
          <w:sz w:val="24"/>
          <w:szCs w:val="28"/>
        </w:rPr>
        <w:t xml:space="preserve"> New </w:t>
      </w:r>
      <w:proofErr w:type="spellStart"/>
      <w:r w:rsidRPr="006B2750">
        <w:rPr>
          <w:sz w:val="24"/>
          <w:szCs w:val="28"/>
        </w:rPr>
        <w:t>Science</w:t>
      </w:r>
      <w:proofErr w:type="spellEnd"/>
      <w:r w:rsidRPr="006B2750">
        <w:rPr>
          <w:sz w:val="24"/>
          <w:szCs w:val="28"/>
        </w:rPr>
        <w:t xml:space="preserve"> of </w:t>
      </w:r>
      <w:proofErr w:type="spellStart"/>
      <w:r w:rsidRPr="006B2750">
        <w:rPr>
          <w:sz w:val="24"/>
          <w:szCs w:val="28"/>
        </w:rPr>
        <w:t>Survey</w:t>
      </w:r>
      <w:proofErr w:type="spellEnd"/>
      <w:r w:rsidRPr="006B2750">
        <w:rPr>
          <w:sz w:val="24"/>
          <w:szCs w:val="28"/>
        </w:rPr>
        <w:t xml:space="preserve"> </w:t>
      </w:r>
      <w:proofErr w:type="spellStart"/>
      <w:r w:rsidRPr="006B2750">
        <w:rPr>
          <w:sz w:val="24"/>
          <w:szCs w:val="28"/>
        </w:rPr>
        <w:t>Research</w:t>
      </w:r>
      <w:proofErr w:type="spellEnd"/>
      <w:r w:rsidRPr="006B2750">
        <w:rPr>
          <w:sz w:val="24"/>
          <w:szCs w:val="28"/>
        </w:rPr>
        <w:t xml:space="preserve">. </w:t>
      </w:r>
      <w:proofErr w:type="spellStart"/>
      <w:r w:rsidRPr="006B2750">
        <w:rPr>
          <w:sz w:val="24"/>
          <w:szCs w:val="28"/>
        </w:rPr>
        <w:t>University</w:t>
      </w:r>
      <w:proofErr w:type="spellEnd"/>
      <w:r w:rsidRPr="006B2750">
        <w:rPr>
          <w:sz w:val="24"/>
          <w:szCs w:val="28"/>
        </w:rPr>
        <w:t xml:space="preserve"> of Chicago </w:t>
      </w:r>
      <w:proofErr w:type="spellStart"/>
      <w:r w:rsidRPr="006B2750">
        <w:rPr>
          <w:sz w:val="24"/>
          <w:szCs w:val="28"/>
        </w:rPr>
        <w:t>Press</w:t>
      </w:r>
      <w:proofErr w:type="spellEnd"/>
      <w:r w:rsidRPr="006B2750">
        <w:rPr>
          <w:sz w:val="24"/>
          <w:szCs w:val="28"/>
        </w:rPr>
        <w:t>.</w:t>
      </w:r>
    </w:p>
    <w:p w:rsidR="006B2750" w:rsidRPr="001433D0" w:rsidRDefault="006B2750" w:rsidP="006B2750">
      <w:pPr>
        <w:spacing w:line="240" w:lineRule="auto"/>
        <w:jc w:val="both"/>
        <w:rPr>
          <w:sz w:val="24"/>
          <w:szCs w:val="28"/>
        </w:rPr>
      </w:pPr>
      <w:proofErr w:type="spellStart"/>
      <w:r w:rsidRPr="006B2750">
        <w:rPr>
          <w:sz w:val="24"/>
          <w:szCs w:val="28"/>
        </w:rPr>
        <w:t>Gideon</w:t>
      </w:r>
      <w:proofErr w:type="spellEnd"/>
      <w:r w:rsidRPr="006B2750">
        <w:rPr>
          <w:sz w:val="24"/>
          <w:szCs w:val="28"/>
        </w:rPr>
        <w:t xml:space="preserve">, L. (2012). </w:t>
      </w:r>
      <w:proofErr w:type="spellStart"/>
      <w:r w:rsidRPr="006B2750">
        <w:rPr>
          <w:sz w:val="24"/>
          <w:szCs w:val="28"/>
        </w:rPr>
        <w:t>Handbook</w:t>
      </w:r>
      <w:proofErr w:type="spellEnd"/>
      <w:r w:rsidRPr="006B2750">
        <w:rPr>
          <w:sz w:val="24"/>
          <w:szCs w:val="28"/>
        </w:rPr>
        <w:t xml:space="preserve"> of </w:t>
      </w:r>
      <w:proofErr w:type="spellStart"/>
      <w:r w:rsidRPr="006B2750">
        <w:rPr>
          <w:sz w:val="24"/>
          <w:szCs w:val="28"/>
        </w:rPr>
        <w:t>Survey</w:t>
      </w:r>
      <w:proofErr w:type="spellEnd"/>
      <w:r w:rsidRPr="006B2750">
        <w:rPr>
          <w:sz w:val="24"/>
          <w:szCs w:val="28"/>
        </w:rPr>
        <w:t xml:space="preserve"> </w:t>
      </w:r>
      <w:proofErr w:type="spellStart"/>
      <w:r w:rsidRPr="006B2750">
        <w:rPr>
          <w:sz w:val="24"/>
          <w:szCs w:val="28"/>
        </w:rPr>
        <w:t>Methodology</w:t>
      </w:r>
      <w:proofErr w:type="spellEnd"/>
      <w:r w:rsidRPr="006B2750">
        <w:rPr>
          <w:sz w:val="24"/>
          <w:szCs w:val="28"/>
        </w:rPr>
        <w:t xml:space="preserve"> </w:t>
      </w:r>
      <w:proofErr w:type="spellStart"/>
      <w:r w:rsidRPr="006B2750">
        <w:rPr>
          <w:sz w:val="24"/>
          <w:szCs w:val="28"/>
        </w:rPr>
        <w:t>for</w:t>
      </w:r>
      <w:proofErr w:type="spellEnd"/>
      <w:r w:rsidRPr="006B2750">
        <w:rPr>
          <w:sz w:val="24"/>
          <w:szCs w:val="28"/>
        </w:rPr>
        <w:t xml:space="preserve"> </w:t>
      </w:r>
      <w:proofErr w:type="spellStart"/>
      <w:r w:rsidRPr="006B2750">
        <w:rPr>
          <w:sz w:val="24"/>
          <w:szCs w:val="28"/>
        </w:rPr>
        <w:t>the</w:t>
      </w:r>
      <w:proofErr w:type="spellEnd"/>
      <w:r w:rsidRPr="006B2750">
        <w:rPr>
          <w:sz w:val="24"/>
          <w:szCs w:val="28"/>
        </w:rPr>
        <w:t xml:space="preserve"> Social </w:t>
      </w:r>
      <w:proofErr w:type="spellStart"/>
      <w:r w:rsidRPr="006B2750">
        <w:rPr>
          <w:sz w:val="24"/>
          <w:szCs w:val="28"/>
        </w:rPr>
        <w:t>Sciences</w:t>
      </w:r>
      <w:proofErr w:type="spellEnd"/>
      <w:r w:rsidRPr="006B2750">
        <w:rPr>
          <w:sz w:val="24"/>
          <w:szCs w:val="28"/>
        </w:rPr>
        <w:t xml:space="preserve">. New York, NY: </w:t>
      </w:r>
      <w:proofErr w:type="spellStart"/>
      <w:r w:rsidRPr="006B2750">
        <w:rPr>
          <w:sz w:val="24"/>
          <w:szCs w:val="28"/>
        </w:rPr>
        <w:t>Springer</w:t>
      </w:r>
      <w:proofErr w:type="spellEnd"/>
      <w:r w:rsidRPr="006B2750">
        <w:rPr>
          <w:sz w:val="24"/>
          <w:szCs w:val="28"/>
        </w:rPr>
        <w:t>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>Bibliografía de aplicación:</w:t>
      </w:r>
    </w:p>
    <w:p w:rsidR="001433D0" w:rsidRPr="00E63FFB" w:rsidRDefault="001433D0" w:rsidP="001433D0">
      <w:pPr>
        <w:spacing w:line="240" w:lineRule="auto"/>
        <w:jc w:val="both"/>
        <w:rPr>
          <w:sz w:val="24"/>
          <w:szCs w:val="28"/>
          <w:lang w:val="en-US"/>
        </w:rPr>
      </w:pPr>
      <w:proofErr w:type="spellStart"/>
      <w:r w:rsidRPr="001433D0">
        <w:rPr>
          <w:sz w:val="24"/>
          <w:szCs w:val="28"/>
        </w:rPr>
        <w:lastRenderedPageBreak/>
        <w:t>Lupu</w:t>
      </w:r>
      <w:proofErr w:type="spellEnd"/>
      <w:r w:rsidRPr="001433D0">
        <w:rPr>
          <w:sz w:val="24"/>
          <w:szCs w:val="28"/>
        </w:rPr>
        <w:t xml:space="preserve">, N. (2016). </w:t>
      </w:r>
      <w:r w:rsidRPr="00E63FFB">
        <w:rPr>
          <w:sz w:val="24"/>
          <w:szCs w:val="28"/>
          <w:lang w:val="en-US"/>
        </w:rPr>
        <w:t>“The end of the Kirchner era”. Journal of Democracy, 27(2), 35-49.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proofErr w:type="spellStart"/>
      <w:r w:rsidRPr="00E63FFB">
        <w:rPr>
          <w:sz w:val="24"/>
          <w:szCs w:val="28"/>
          <w:lang w:val="en-US"/>
        </w:rPr>
        <w:t>Lodola</w:t>
      </w:r>
      <w:proofErr w:type="spellEnd"/>
      <w:r w:rsidRPr="00E63FFB">
        <w:rPr>
          <w:sz w:val="24"/>
          <w:szCs w:val="28"/>
          <w:lang w:val="en-US"/>
        </w:rPr>
        <w:t xml:space="preserve">, G. y </w:t>
      </w:r>
      <w:proofErr w:type="spellStart"/>
      <w:r w:rsidRPr="00E63FFB">
        <w:rPr>
          <w:sz w:val="24"/>
          <w:szCs w:val="28"/>
          <w:lang w:val="en-US"/>
        </w:rPr>
        <w:t>Seligson</w:t>
      </w:r>
      <w:proofErr w:type="spellEnd"/>
      <w:r w:rsidRPr="00E63FFB">
        <w:rPr>
          <w:sz w:val="24"/>
          <w:szCs w:val="28"/>
          <w:lang w:val="en-US"/>
        </w:rPr>
        <w:t xml:space="preserve">, M. A. (2013). </w:t>
      </w:r>
      <w:r w:rsidRPr="001433D0">
        <w:rPr>
          <w:sz w:val="24"/>
          <w:szCs w:val="28"/>
        </w:rPr>
        <w:t>Cultura política de la democracia en Argentina y en las Américas, 2012: Hacia la igualdad de oportunidades. Buenos Aires: Universidad Torcuato Di Tella, Buenos Aires.</w:t>
      </w:r>
    </w:p>
    <w:p w:rsid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 xml:space="preserve">Calvo, E. (2015). Anatomía política de </w:t>
      </w:r>
      <w:proofErr w:type="spellStart"/>
      <w:r w:rsidRPr="001433D0">
        <w:rPr>
          <w:sz w:val="24"/>
          <w:szCs w:val="28"/>
        </w:rPr>
        <w:t>Twitter</w:t>
      </w:r>
      <w:proofErr w:type="spellEnd"/>
      <w:r w:rsidRPr="001433D0">
        <w:rPr>
          <w:sz w:val="24"/>
          <w:szCs w:val="28"/>
        </w:rPr>
        <w:t xml:space="preserve"> en Argentina. </w:t>
      </w:r>
      <w:proofErr w:type="spellStart"/>
      <w:r w:rsidRPr="001433D0">
        <w:rPr>
          <w:sz w:val="24"/>
          <w:szCs w:val="28"/>
        </w:rPr>
        <w:t>Tuiteando</w:t>
      </w:r>
      <w:proofErr w:type="spellEnd"/>
      <w:r w:rsidRPr="001433D0">
        <w:rPr>
          <w:sz w:val="24"/>
          <w:szCs w:val="28"/>
        </w:rPr>
        <w:t xml:space="preserve"> #</w:t>
      </w:r>
      <w:proofErr w:type="spellStart"/>
      <w:r w:rsidRPr="001433D0">
        <w:rPr>
          <w:sz w:val="24"/>
          <w:szCs w:val="28"/>
        </w:rPr>
        <w:t>Nisman</w:t>
      </w:r>
      <w:proofErr w:type="spellEnd"/>
      <w:r w:rsidRPr="001433D0">
        <w:rPr>
          <w:sz w:val="24"/>
          <w:szCs w:val="28"/>
        </w:rPr>
        <w:t>. Buenos Aires: Capital Intelectual.</w:t>
      </w:r>
    </w:p>
    <w:p w:rsidR="001433D0" w:rsidRPr="001433D0" w:rsidRDefault="001433D0" w:rsidP="001433D0">
      <w:pPr>
        <w:spacing w:line="240" w:lineRule="auto"/>
        <w:jc w:val="both"/>
        <w:rPr>
          <w:b/>
          <w:sz w:val="24"/>
          <w:szCs w:val="28"/>
        </w:rPr>
      </w:pPr>
      <w:r w:rsidRPr="001433D0">
        <w:rPr>
          <w:b/>
          <w:sz w:val="24"/>
          <w:szCs w:val="28"/>
        </w:rPr>
        <w:t xml:space="preserve">Unidad </w:t>
      </w:r>
      <w:r>
        <w:rPr>
          <w:b/>
          <w:sz w:val="24"/>
          <w:szCs w:val="28"/>
        </w:rPr>
        <w:t>7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>Bibliografía teórica:</w:t>
      </w:r>
    </w:p>
    <w:p w:rsidR="001433D0" w:rsidRPr="00E63FFB" w:rsidRDefault="001433D0" w:rsidP="001433D0">
      <w:pPr>
        <w:spacing w:line="240" w:lineRule="auto"/>
        <w:jc w:val="both"/>
        <w:rPr>
          <w:sz w:val="24"/>
          <w:szCs w:val="28"/>
          <w:lang w:val="en-US"/>
        </w:rPr>
      </w:pPr>
      <w:r w:rsidRPr="001433D0">
        <w:rPr>
          <w:sz w:val="24"/>
          <w:szCs w:val="28"/>
        </w:rPr>
        <w:t xml:space="preserve">Berry, W. y Sanders, M. (2000). </w:t>
      </w:r>
      <w:r w:rsidRPr="00E63FFB">
        <w:rPr>
          <w:sz w:val="24"/>
          <w:szCs w:val="28"/>
          <w:lang w:val="en-US"/>
        </w:rPr>
        <w:t>Understanding multivariate research. Colorado: Westview Press.</w:t>
      </w:r>
    </w:p>
    <w:p w:rsidR="001433D0" w:rsidRPr="00E63FFB" w:rsidRDefault="001433D0" w:rsidP="001433D0">
      <w:pPr>
        <w:spacing w:line="240" w:lineRule="auto"/>
        <w:jc w:val="both"/>
        <w:rPr>
          <w:sz w:val="24"/>
          <w:szCs w:val="28"/>
          <w:lang w:val="en-US"/>
        </w:rPr>
      </w:pPr>
      <w:proofErr w:type="spellStart"/>
      <w:r w:rsidRPr="00E63FFB">
        <w:rPr>
          <w:sz w:val="24"/>
          <w:szCs w:val="28"/>
          <w:lang w:val="en-US"/>
        </w:rPr>
        <w:t>Japec</w:t>
      </w:r>
      <w:proofErr w:type="spellEnd"/>
      <w:r w:rsidRPr="00E63FFB">
        <w:rPr>
          <w:sz w:val="24"/>
          <w:szCs w:val="28"/>
          <w:lang w:val="en-US"/>
        </w:rPr>
        <w:t xml:space="preserve">, L., </w:t>
      </w:r>
      <w:proofErr w:type="spellStart"/>
      <w:r w:rsidRPr="00E63FFB">
        <w:rPr>
          <w:sz w:val="24"/>
          <w:szCs w:val="28"/>
          <w:lang w:val="en-US"/>
        </w:rPr>
        <w:t>Kreuter</w:t>
      </w:r>
      <w:proofErr w:type="spellEnd"/>
      <w:r w:rsidRPr="00E63FFB">
        <w:rPr>
          <w:sz w:val="24"/>
          <w:szCs w:val="28"/>
          <w:lang w:val="en-US"/>
        </w:rPr>
        <w:t xml:space="preserve">, F., Berg, M., </w:t>
      </w:r>
      <w:proofErr w:type="spellStart"/>
      <w:r w:rsidRPr="00E63FFB">
        <w:rPr>
          <w:sz w:val="24"/>
          <w:szCs w:val="28"/>
          <w:lang w:val="en-US"/>
        </w:rPr>
        <w:t>Biemer</w:t>
      </w:r>
      <w:proofErr w:type="spellEnd"/>
      <w:r w:rsidRPr="00E63FFB">
        <w:rPr>
          <w:sz w:val="24"/>
          <w:szCs w:val="28"/>
          <w:lang w:val="en-US"/>
        </w:rPr>
        <w:t>, P., Decker, P., Lampe, C. y Usher, A. (2015). AAPOR report on big data. American Association for Public Opinion Research.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proofErr w:type="spellStart"/>
      <w:r w:rsidRPr="00E63FFB">
        <w:rPr>
          <w:sz w:val="24"/>
          <w:szCs w:val="28"/>
          <w:lang w:val="en-US"/>
        </w:rPr>
        <w:t>Titiunik</w:t>
      </w:r>
      <w:proofErr w:type="spellEnd"/>
      <w:r w:rsidRPr="00E63FFB">
        <w:rPr>
          <w:sz w:val="24"/>
          <w:szCs w:val="28"/>
          <w:lang w:val="en-US"/>
        </w:rPr>
        <w:t>, R. (2015). “Can big data solve the fundamental problem of causal inference?</w:t>
      </w:r>
      <w:proofErr w:type="gramStart"/>
      <w:r w:rsidRPr="00E63FFB">
        <w:rPr>
          <w:sz w:val="24"/>
          <w:szCs w:val="28"/>
          <w:lang w:val="en-US"/>
        </w:rPr>
        <w:t>”.</w:t>
      </w:r>
      <w:proofErr w:type="gramEnd"/>
      <w:r w:rsidRPr="00E63FFB">
        <w:rPr>
          <w:sz w:val="24"/>
          <w:szCs w:val="28"/>
          <w:lang w:val="en-US"/>
        </w:rPr>
        <w:t xml:space="preserve"> </w:t>
      </w:r>
      <w:r w:rsidRPr="001433D0">
        <w:rPr>
          <w:sz w:val="24"/>
          <w:szCs w:val="28"/>
        </w:rPr>
        <w:t xml:space="preserve">PS: </w:t>
      </w:r>
      <w:proofErr w:type="spellStart"/>
      <w:r w:rsidRPr="001433D0">
        <w:rPr>
          <w:sz w:val="24"/>
          <w:szCs w:val="28"/>
        </w:rPr>
        <w:t>Political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Science</w:t>
      </w:r>
      <w:proofErr w:type="spellEnd"/>
      <w:r w:rsidRPr="001433D0">
        <w:rPr>
          <w:sz w:val="24"/>
          <w:szCs w:val="28"/>
        </w:rPr>
        <w:t xml:space="preserve"> &amp; </w:t>
      </w:r>
      <w:proofErr w:type="spellStart"/>
      <w:r w:rsidRPr="001433D0">
        <w:rPr>
          <w:sz w:val="24"/>
          <w:szCs w:val="28"/>
        </w:rPr>
        <w:t>Politics</w:t>
      </w:r>
      <w:proofErr w:type="spellEnd"/>
      <w:r w:rsidRPr="001433D0">
        <w:rPr>
          <w:sz w:val="24"/>
          <w:szCs w:val="28"/>
        </w:rPr>
        <w:t xml:space="preserve">, 48(1), 75-79. 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E63FFB">
        <w:rPr>
          <w:sz w:val="24"/>
          <w:szCs w:val="28"/>
          <w:lang w:val="en-US"/>
        </w:rPr>
        <w:t>King, G. (2016). “Preface: Big Data is not about the data!</w:t>
      </w:r>
      <w:proofErr w:type="gramStart"/>
      <w:r w:rsidRPr="00E63FFB">
        <w:rPr>
          <w:sz w:val="24"/>
          <w:szCs w:val="28"/>
          <w:lang w:val="en-US"/>
        </w:rPr>
        <w:t>”,</w:t>
      </w:r>
      <w:proofErr w:type="gramEnd"/>
      <w:r w:rsidRPr="00E63FFB">
        <w:rPr>
          <w:sz w:val="24"/>
          <w:szCs w:val="28"/>
          <w:lang w:val="en-US"/>
        </w:rPr>
        <w:t xml:space="preserve"> en M. Alvarez, Computational Social Science: Discovery and Prediction. </w:t>
      </w:r>
      <w:r w:rsidRPr="001433D0">
        <w:rPr>
          <w:sz w:val="24"/>
          <w:szCs w:val="28"/>
        </w:rPr>
        <w:t xml:space="preserve">Cambridge: Cambridge </w:t>
      </w:r>
      <w:proofErr w:type="spellStart"/>
      <w:r w:rsidRPr="001433D0">
        <w:rPr>
          <w:sz w:val="24"/>
          <w:szCs w:val="28"/>
        </w:rPr>
        <w:t>University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Press</w:t>
      </w:r>
      <w:proofErr w:type="spellEnd"/>
      <w:r w:rsidRPr="001433D0">
        <w:rPr>
          <w:sz w:val="24"/>
          <w:szCs w:val="28"/>
        </w:rPr>
        <w:t>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>Bibliografía de aplicación: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r w:rsidRPr="001433D0">
        <w:rPr>
          <w:sz w:val="24"/>
          <w:szCs w:val="28"/>
        </w:rPr>
        <w:t>Torcal, M. (2006). “Desafección institucional e historia democrática en las nuevas democracias”. Revista SAAP, 2(3), 591-634</w:t>
      </w:r>
    </w:p>
    <w:p w:rsidR="001433D0" w:rsidRPr="00E63FFB" w:rsidRDefault="001433D0" w:rsidP="001433D0">
      <w:pPr>
        <w:spacing w:line="240" w:lineRule="auto"/>
        <w:jc w:val="both"/>
        <w:rPr>
          <w:sz w:val="24"/>
          <w:szCs w:val="28"/>
          <w:lang w:val="en-US"/>
        </w:rPr>
      </w:pPr>
      <w:r w:rsidRPr="001433D0">
        <w:rPr>
          <w:sz w:val="24"/>
          <w:szCs w:val="28"/>
        </w:rPr>
        <w:t>Carreras, M. y Castañeda-Angarita, N. (2014). “</w:t>
      </w:r>
      <w:proofErr w:type="spellStart"/>
      <w:r w:rsidRPr="001433D0">
        <w:rPr>
          <w:sz w:val="24"/>
          <w:szCs w:val="28"/>
        </w:rPr>
        <w:t>Who</w:t>
      </w:r>
      <w:proofErr w:type="spellEnd"/>
      <w:r w:rsidRPr="001433D0">
        <w:rPr>
          <w:sz w:val="24"/>
          <w:szCs w:val="28"/>
        </w:rPr>
        <w:t xml:space="preserve"> votes in </w:t>
      </w:r>
      <w:proofErr w:type="spellStart"/>
      <w:r w:rsidRPr="001433D0">
        <w:rPr>
          <w:sz w:val="24"/>
          <w:szCs w:val="28"/>
        </w:rPr>
        <w:t>Latin</w:t>
      </w:r>
      <w:proofErr w:type="spellEnd"/>
      <w:r w:rsidRPr="001433D0">
        <w:rPr>
          <w:sz w:val="24"/>
          <w:szCs w:val="28"/>
        </w:rPr>
        <w:t xml:space="preserve"> </w:t>
      </w:r>
      <w:proofErr w:type="spellStart"/>
      <w:r w:rsidRPr="001433D0">
        <w:rPr>
          <w:sz w:val="24"/>
          <w:szCs w:val="28"/>
        </w:rPr>
        <w:t>America</w:t>
      </w:r>
      <w:proofErr w:type="spellEnd"/>
      <w:r w:rsidRPr="001433D0">
        <w:rPr>
          <w:sz w:val="24"/>
          <w:szCs w:val="28"/>
        </w:rPr>
        <w:t xml:space="preserve">? </w:t>
      </w:r>
      <w:r w:rsidRPr="00E63FFB">
        <w:rPr>
          <w:sz w:val="24"/>
          <w:szCs w:val="28"/>
          <w:lang w:val="en-US"/>
        </w:rPr>
        <w:t>A test of three theoretical perspectives”. Comparative Political Studies, 47(8), 1079-1104.</w:t>
      </w:r>
    </w:p>
    <w:p w:rsidR="001433D0" w:rsidRPr="001433D0" w:rsidRDefault="001433D0" w:rsidP="001433D0">
      <w:pPr>
        <w:spacing w:line="240" w:lineRule="auto"/>
        <w:jc w:val="both"/>
        <w:rPr>
          <w:sz w:val="24"/>
          <w:szCs w:val="28"/>
        </w:rPr>
      </w:pPr>
      <w:proofErr w:type="spellStart"/>
      <w:r w:rsidRPr="00E63FFB">
        <w:rPr>
          <w:sz w:val="24"/>
          <w:szCs w:val="28"/>
          <w:lang w:val="en-US"/>
        </w:rPr>
        <w:t>Calvo</w:t>
      </w:r>
      <w:proofErr w:type="spellEnd"/>
      <w:r w:rsidRPr="00E63FFB">
        <w:rPr>
          <w:sz w:val="24"/>
          <w:szCs w:val="28"/>
          <w:lang w:val="en-US"/>
        </w:rPr>
        <w:t xml:space="preserve">, E. (2015). </w:t>
      </w:r>
      <w:r w:rsidRPr="001433D0">
        <w:rPr>
          <w:sz w:val="24"/>
          <w:szCs w:val="28"/>
        </w:rPr>
        <w:t xml:space="preserve">Anatomía política de </w:t>
      </w:r>
      <w:proofErr w:type="spellStart"/>
      <w:r w:rsidRPr="001433D0">
        <w:rPr>
          <w:sz w:val="24"/>
          <w:szCs w:val="28"/>
        </w:rPr>
        <w:t>Twitter</w:t>
      </w:r>
      <w:proofErr w:type="spellEnd"/>
      <w:r w:rsidRPr="001433D0">
        <w:rPr>
          <w:sz w:val="24"/>
          <w:szCs w:val="28"/>
        </w:rPr>
        <w:t xml:space="preserve"> en Argentina. </w:t>
      </w:r>
      <w:proofErr w:type="spellStart"/>
      <w:r w:rsidRPr="001433D0">
        <w:rPr>
          <w:sz w:val="24"/>
          <w:szCs w:val="28"/>
        </w:rPr>
        <w:t>Tuiteando</w:t>
      </w:r>
      <w:proofErr w:type="spellEnd"/>
      <w:r w:rsidRPr="001433D0">
        <w:rPr>
          <w:sz w:val="24"/>
          <w:szCs w:val="28"/>
        </w:rPr>
        <w:t xml:space="preserve"> #</w:t>
      </w:r>
      <w:proofErr w:type="spellStart"/>
      <w:r w:rsidRPr="001433D0">
        <w:rPr>
          <w:sz w:val="24"/>
          <w:szCs w:val="28"/>
        </w:rPr>
        <w:t>Nisman</w:t>
      </w:r>
      <w:proofErr w:type="spellEnd"/>
      <w:r w:rsidRPr="001433D0">
        <w:rPr>
          <w:sz w:val="24"/>
          <w:szCs w:val="28"/>
        </w:rPr>
        <w:t>. Buenos Aires: Capital Intelectual.</w:t>
      </w:r>
    </w:p>
    <w:p w:rsidR="001433D0" w:rsidRPr="009574B7" w:rsidRDefault="001433D0">
      <w:pPr>
        <w:spacing w:line="240" w:lineRule="auto"/>
        <w:jc w:val="both"/>
        <w:rPr>
          <w:b/>
          <w:sz w:val="24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</w:t>
      </w:r>
      <w:r w:rsidR="00103915">
        <w:rPr>
          <w:b/>
          <w:sz w:val="28"/>
          <w:szCs w:val="28"/>
        </w:rPr>
        <w:t>odología de cursada y evaluación</w:t>
      </w:r>
    </w:p>
    <w:p w:rsidR="009574B7" w:rsidRPr="007451F9" w:rsidRDefault="009574B7">
      <w:pPr>
        <w:spacing w:line="240" w:lineRule="auto"/>
        <w:jc w:val="both"/>
        <w:rPr>
          <w:sz w:val="24"/>
          <w:szCs w:val="24"/>
        </w:rPr>
      </w:pPr>
      <w:r w:rsidRPr="007451F9">
        <w:rPr>
          <w:sz w:val="24"/>
          <w:szCs w:val="24"/>
        </w:rPr>
        <w:t xml:space="preserve">El curso cuenta con una carga horaria de 32hs. Las clases se dictarán en forma virtual los días sábados de 9 a 13 </w:t>
      </w:r>
      <w:proofErr w:type="spellStart"/>
      <w:r w:rsidRPr="007451F9">
        <w:rPr>
          <w:sz w:val="24"/>
          <w:szCs w:val="24"/>
        </w:rPr>
        <w:t>hs</w:t>
      </w:r>
      <w:proofErr w:type="spellEnd"/>
      <w:r w:rsidRPr="007451F9">
        <w:rPr>
          <w:sz w:val="24"/>
          <w:szCs w:val="24"/>
        </w:rPr>
        <w:t>.</w:t>
      </w:r>
    </w:p>
    <w:p w:rsidR="009574B7" w:rsidRPr="007451F9" w:rsidRDefault="009574B7" w:rsidP="009574B7">
      <w:pPr>
        <w:spacing w:line="240" w:lineRule="auto"/>
        <w:jc w:val="both"/>
        <w:rPr>
          <w:sz w:val="24"/>
          <w:szCs w:val="24"/>
        </w:rPr>
      </w:pPr>
      <w:r w:rsidRPr="007451F9">
        <w:rPr>
          <w:sz w:val="24"/>
          <w:szCs w:val="24"/>
        </w:rPr>
        <w:t xml:space="preserve">El </w:t>
      </w:r>
      <w:r w:rsidR="0098254E" w:rsidRPr="007451F9">
        <w:rPr>
          <w:sz w:val="24"/>
          <w:szCs w:val="24"/>
        </w:rPr>
        <w:t>curso se aprobará a través de dos</w:t>
      </w:r>
      <w:r w:rsidRPr="007451F9">
        <w:rPr>
          <w:sz w:val="24"/>
          <w:szCs w:val="24"/>
        </w:rPr>
        <w:t xml:space="preserve"> instancias: 1) Un examen final escrito, individual, basado en la bibliografía </w:t>
      </w:r>
      <w:r w:rsidR="00A5351F" w:rsidRPr="007451F9">
        <w:rPr>
          <w:sz w:val="24"/>
          <w:szCs w:val="24"/>
        </w:rPr>
        <w:t>obligatoria, al final del curso y</w:t>
      </w:r>
      <w:r w:rsidRPr="007451F9">
        <w:rPr>
          <w:sz w:val="24"/>
          <w:szCs w:val="24"/>
        </w:rPr>
        <w:t xml:space="preserve"> 2) La entrega de ejercicios que se indicarán a lo larg</w:t>
      </w:r>
      <w:r w:rsidR="00A5351F" w:rsidRPr="007451F9">
        <w:rPr>
          <w:sz w:val="24"/>
          <w:szCs w:val="24"/>
        </w:rPr>
        <w:t>o del curso.</w:t>
      </w:r>
    </w:p>
    <w:p w:rsidR="009574B7" w:rsidRPr="009574B7" w:rsidRDefault="009574B7" w:rsidP="009574B7">
      <w:pPr>
        <w:spacing w:line="240" w:lineRule="auto"/>
        <w:jc w:val="both"/>
        <w:rPr>
          <w:sz w:val="24"/>
          <w:szCs w:val="24"/>
        </w:rPr>
      </w:pPr>
      <w:r w:rsidRPr="007451F9">
        <w:rPr>
          <w:sz w:val="24"/>
          <w:szCs w:val="24"/>
        </w:rPr>
        <w:t>El examen final consistirá en la elaboración un abordaje metodológico a partir de un problema de investigación planteado por el cuerpo docente, sobre la base de un listado de preguntas a modo de guía y orientación.</w:t>
      </w:r>
    </w:p>
    <w:p w:rsidR="00D018FF" w:rsidRDefault="00D018FF">
      <w:pPr>
        <w:spacing w:line="240" w:lineRule="auto"/>
        <w:jc w:val="both"/>
        <w:rPr>
          <w:sz w:val="24"/>
          <w:szCs w:val="24"/>
        </w:rPr>
      </w:pPr>
    </w:p>
    <w:p w:rsidR="00A01C40" w:rsidRPr="007451F9" w:rsidRDefault="007278A9" w:rsidP="009574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3"/>
          <w:szCs w:val="23"/>
          <w:lang w:eastAsia="es-AR"/>
        </w:rPr>
      </w:pPr>
      <w:r w:rsidRPr="007278A9">
        <w:rPr>
          <w:rFonts w:ascii="Arial" w:eastAsia="Times New Roman" w:hAnsi="Arial" w:cs="Arial"/>
          <w:color w:val="181818"/>
          <w:sz w:val="23"/>
          <w:szCs w:val="23"/>
          <w:lang w:eastAsia="es-AR"/>
        </w:rPr>
        <w:t> </w:t>
      </w:r>
    </w:p>
    <w:sectPr w:rsidR="00A01C40" w:rsidRPr="007451F9" w:rsidSect="00215174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FC" w:rsidRDefault="001378FC">
      <w:pPr>
        <w:spacing w:after="0" w:line="240" w:lineRule="auto"/>
      </w:pPr>
      <w:r>
        <w:separator/>
      </w:r>
    </w:p>
  </w:endnote>
  <w:endnote w:type="continuationSeparator" w:id="0">
    <w:p w:rsidR="001378FC" w:rsidRDefault="0013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FC" w:rsidRDefault="001378FC">
      <w:pPr>
        <w:spacing w:after="0" w:line="240" w:lineRule="auto"/>
      </w:pPr>
      <w:r>
        <w:separator/>
      </w:r>
    </w:p>
  </w:footnote>
  <w:footnote w:type="continuationSeparator" w:id="0">
    <w:p w:rsidR="001378FC" w:rsidRDefault="0013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9E" w:rsidRDefault="001A51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-813434</wp:posOffset>
          </wp:positionH>
          <wp:positionV relativeFrom="paragraph">
            <wp:posOffset>77470</wp:posOffset>
          </wp:positionV>
          <wp:extent cx="7089140" cy="76026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49E" w:rsidRDefault="00F21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F5406AE"/>
    <w:multiLevelType w:val="hybridMultilevel"/>
    <w:tmpl w:val="CC125B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49E"/>
    <w:rsid w:val="00084200"/>
    <w:rsid w:val="00103915"/>
    <w:rsid w:val="0011277F"/>
    <w:rsid w:val="001378FC"/>
    <w:rsid w:val="001433D0"/>
    <w:rsid w:val="001A5117"/>
    <w:rsid w:val="001C2B91"/>
    <w:rsid w:val="00215174"/>
    <w:rsid w:val="00215F91"/>
    <w:rsid w:val="0050604A"/>
    <w:rsid w:val="00613AF2"/>
    <w:rsid w:val="00664E4D"/>
    <w:rsid w:val="006A22E3"/>
    <w:rsid w:val="006B2750"/>
    <w:rsid w:val="007278A9"/>
    <w:rsid w:val="007451F9"/>
    <w:rsid w:val="0086337A"/>
    <w:rsid w:val="00887E8B"/>
    <w:rsid w:val="008D0E33"/>
    <w:rsid w:val="009574B7"/>
    <w:rsid w:val="00970D66"/>
    <w:rsid w:val="0098254E"/>
    <w:rsid w:val="009A2FD5"/>
    <w:rsid w:val="00A01C40"/>
    <w:rsid w:val="00A5351F"/>
    <w:rsid w:val="00A80649"/>
    <w:rsid w:val="00AF7884"/>
    <w:rsid w:val="00B24464"/>
    <w:rsid w:val="00B62438"/>
    <w:rsid w:val="00B6777B"/>
    <w:rsid w:val="00D018FF"/>
    <w:rsid w:val="00D72DFE"/>
    <w:rsid w:val="00DA174A"/>
    <w:rsid w:val="00E63FFB"/>
    <w:rsid w:val="00ED0338"/>
    <w:rsid w:val="00F2149E"/>
    <w:rsid w:val="00F611C2"/>
    <w:rsid w:val="00FC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5174"/>
  </w:style>
  <w:style w:type="paragraph" w:styleId="Ttulo1">
    <w:name w:val="heading 1"/>
    <w:basedOn w:val="Normal"/>
    <w:next w:val="Normal"/>
    <w:rsid w:val="002151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151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151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151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1517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151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151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1517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151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6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C2"/>
  </w:style>
  <w:style w:type="paragraph" w:styleId="Piedepgina">
    <w:name w:val="footer"/>
    <w:basedOn w:val="Normal"/>
    <w:link w:val="PiedepginaCar"/>
    <w:uiPriority w:val="99"/>
    <w:unhideWhenUsed/>
    <w:rsid w:val="00F6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C2"/>
  </w:style>
  <w:style w:type="paragraph" w:styleId="NormalWeb">
    <w:name w:val="Normal (Web)"/>
    <w:basedOn w:val="Normal"/>
    <w:uiPriority w:val="99"/>
    <w:semiHidden/>
    <w:unhideWhenUsed/>
    <w:rsid w:val="0072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278A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278A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F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7884"/>
    <w:pPr>
      <w:spacing w:after="0" w:line="240" w:lineRule="auto"/>
      <w:jc w:val="both"/>
    </w:pPr>
    <w:rPr>
      <w:rFonts w:ascii="Tahoma" w:hAnsi="Tahoma" w:cs="Times New Roman"/>
      <w:i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7884"/>
    <w:rPr>
      <w:rFonts w:ascii="Tahoma" w:hAnsi="Tahoma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1882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| Metodología del análisis político</vt:lpstr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| Metodología del análisis político</dc:title>
  <dc:creator/>
  <cp:lastModifiedBy>GMoscoso</cp:lastModifiedBy>
  <cp:revision>34</cp:revision>
  <dcterms:created xsi:type="dcterms:W3CDTF">2020-02-17T13:46:00Z</dcterms:created>
  <dcterms:modified xsi:type="dcterms:W3CDTF">2021-03-11T21:53:00Z</dcterms:modified>
</cp:coreProperties>
</file>