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Maestría en Teoría Política y Social– Ciclo lectivo 2021</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52"/>
          <w:szCs w:val="52"/>
          <w:u w:val="none"/>
          <w:shd w:fill="auto" w:val="clear"/>
          <w:vertAlign w:val="baseline"/>
        </w:rPr>
        <w:sectPr>
          <w:headerReference r:id="rId7" w:type="default"/>
          <w:footerReference r:id="rId8" w:type="default"/>
          <w:pgSz w:h="16840" w:w="11900" w:orient="portrait"/>
          <w:pgMar w:bottom="1417" w:top="1523" w:left="1701" w:right="1701" w:header="568" w:footer="708"/>
          <w:pgNumType w:start="1"/>
        </w:sectPr>
      </w:pPr>
      <w:r w:rsidDel="00000000" w:rsidR="00000000" w:rsidRPr="00000000">
        <w:rPr>
          <w:rFonts w:ascii="Calibri" w:cs="Calibri" w:eastAsia="Calibri" w:hAnsi="Calibri"/>
          <w:b w:val="1"/>
          <w:i w:val="0"/>
          <w:smallCaps w:val="0"/>
          <w:strike w:val="0"/>
          <w:color w:val="000000"/>
          <w:sz w:val="52"/>
          <w:szCs w:val="52"/>
          <w:u w:val="none"/>
          <w:shd w:fill="auto" w:val="clear"/>
          <w:vertAlign w:val="baseline"/>
          <w:rtl w:val="0"/>
        </w:rPr>
        <w:t xml:space="preserve">Teorías de la Acción Colectiva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32"/>
          <w:szCs w:val="32"/>
          <w:u w:val="none"/>
          <w:shd w:fill="auto" w:val="clear"/>
          <w:vertAlign w:val="baseline"/>
        </w:rPr>
        <w:sectPr>
          <w:headerReference r:id="rId9" w:type="default"/>
          <w:type w:val="nextPage"/>
          <w:pgSz w:h="16840" w:w="11900" w:orient="portrait"/>
          <w:pgMar w:bottom="1417" w:top="1523" w:left="1701" w:right="1701" w:header="568" w:footer="708"/>
        </w:sect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Docentes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Ana Natalucci</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sectPr>
          <w:type w:val="continuous"/>
          <w:pgSz w:h="16840" w:w="11900" w:orient="portrait"/>
          <w:pgMar w:bottom="1417" w:top="1523" w:left="1701" w:right="1701" w:header="568" w:footer="708"/>
          <w:cols w:equalWidth="0" w:num="2">
            <w:col w:space="708" w:w="3895"/>
            <w:col w:space="0" w:w="3895"/>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Licenciada en Comunicación Social (UNC), Magíster en Investigación en Ciencias Sociales (UBA) y Doctora en Ciencias Sociales (UBA). Investigadora Adjunta CONICET y Profesora Adjunta a Cargo de la materia Teorías de la Acción Colectiva. Dirige el proyecto de investigación PICT “Trabajo no salarial y formas emergentes de organización. Un análisis del heterogéneo campo de la economía popular” con sede en el CITRA (CONICET-UMET).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Ezequiel Ipar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467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Licenciada en Sociología (UBA), Doctor en Ciencias Sociales (UBA) y Doctor en Filosofía (USP). Investigador Adjunta CONICET y Profesor Adjunt a Cargo de la materia Historia del Conocimiento Sociológico II. Dirige el proyecto de investigación PIP-Conicet “Dilemas de la democracia y el capitalismo en Argentina” con sede en el IIGG (UBA).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Fundamentación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noción de acción, junto con la de estructura, ha estado en el centro del debate de las ciencias sociales. Controversias en torno a la racionalidad, la subjetividad, el sentido, los actos, sus condicionantes atravesaron el discurso sociológico.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Este Curso se fundamenta en una concepción moderna de la acción, dando por supuesto algunos rasgos, a saber: 1) su carácter intencional y propio de la voluntad humana -a diferencia de movimientos físicos y biológicos-; 2) una racionalidad común que permite dilucidar los motivos, circunstancias y expectativas de la acción; 3) la capacidad reflexiva de los agentes sobre su acción; 4) el juego de observador-participante con el que se construye las condiciones de posibilidad de la acción.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partir de esta premisa general, en este Curso se abordará el problema de la acción en dos registros diferentes. Por un lado, un registro filosófico que busca reconstruir algunos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los lineamientos conceptuales fundamentales que siguió la teoría de la acción en la segunda mitad del siglo XX. Por otro, un registro sociológico, específicamente propio de la acción colectiva, que apela a discutir algunos problemas contemporáneos de las formas gregarias de la acción.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Siguiendo esta propuesta, el Curso se organizó en dos partes. La primera estará enfocada a la sociología de la movilización social, procesos de conformación de actores colectivos y de organización e institucionalización de la acción colectiva. Una segunda parte, consecutiva, se centra en revisar las implicancias del giro lingüístico en las teorías críticas de la acción, indagando sus repercusiones en la teoría del discurso, la sociología política y la filosofía moral.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Objetivos</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Exponer los principales conceptos de las teorías sobre la acción social.</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Desarrollar la capacidad de reflexión crítica sobre las formas de acción y su relación con la construcción de lo social.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Dominen la metodología de los estudios sobre acción colectiva y movimientos sociales para desarrollar una investigación empírica.</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Conozcan los conceptos fundamentales y las controversias que ha suscitado en las ciencias sociales contemporáneas la idea de espacio público político.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Unidades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Unidad 1. TEORÍAS DE LA ACCIÓN COLECTIVA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1. El problema de la racionalidad en la acción colectiva. Paradigma estratégico: intereses, incentivos y organización. Estructuras de movilización y de oportunidades política. Contienda política. La noción de dinámica de la contienda política.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1. 2.</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Sociología de los movimientos sociales: de los movimientos a otras experiencias colectivas (colectivos, grupos, redes). Racionalidades de la acción colectiva. Arena pública y experiencias de democratización. Vocabularios de motivos y gramáticas de la acción colectiva.</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El concepto de manifestación como comportamiento colectivo político. Discusiones con el paradigma funcionalista del comportamiento colectivo. Propuestas multidimensionales de abordaje de la manifestación. La discusión sobre los repertorios de acción.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La institucionalización como problema teórico. Cooptación, autonomía, heteronomía. La relación de la movilización y el sistema político. El lugar del Estado como sujeto de la política. La mirada latinoamericana sobre los movimientos sociales.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Unidad 2. Espacio Público y Discurso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Giro lingüístico y teoría de la sociedad. Variaciones sobre la teoría del significado. La discusión epistemológica y política en torno al concepto de discurso.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Habermas, J.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Teoría de la Acción Comunicativa, complementos y estudios previos.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 1 "Lecciones sobre una fundamentación de la sociología en términos de teoría del lenguaje" (Lecciones 2, 3 y 4).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Habermas, J.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El discurso filosófico de la modernidad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cap. 7 "Sobrepujamiento de la filosofía primera temporalizada: crítica de Derrida al falocentrismo"; "Excurso sobre la disolución de la diferencia de géneros entre filosofía y literatura".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2. La teoría de la acción comunicativa y la teoría de los sistemas como paradigmas rivales para comprender los problemas de la acción en las sociedades modernas. El diagnóstico de época de Habermas y las aporías del Estado de Bienestar. El pasaje de la teoría de la acción comunicativa a la sociología de la democracia. Conflictos y controversias de la estructura jurídica de las democracias modernas.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Habermas, J.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Teoría de la Acción Comunicativa II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cap. 8 "Consideraciones finales, de Parsons a Marx a través de Weber".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Luhmann, 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Sistemas sociales, lineamientos para una teoría general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cap. 4 "Comunicación y Acción".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Habermas, J.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Facticidad y validez</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cap. 1 "El derecho como categoría de la mediación social entre facticidad y validez"; cap. 6 "Justicia y legislación, sobre el papel y legitimidad de la jurisprudencia constitucional".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3. La interpretación del último Foucault sobre el espacio público y la tradición crítica de la ilustración. La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parrhesía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 su vínculo con la democracia. El juego político y filosófico de la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parrhesía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-Foucault, M. El gobierno de sí y de los otros; Clase del 5 de enero, Clase 12 de enero, Clase del 2 de Febrero y Clase del 9 de marzo.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4. Las paradojas de la Democracia procedimental: límites y modos de expansión del poder de la acción comunicativa en los sistemas sociales del capitalismo tardío. Reconceptualizando a la sociedad civil como categoría fundamental de la acción colectiva.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Habermas, J.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Facticidad y validez</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cap. 7 "Política deliberativa, un concepto procedimental de democracia"; cap. 8 "Sobre el papel de la sociedad civil y de la opinión pública”.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Bibliografía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Cefaï, Daniel, “Diez propuestas para el estudio de las movilizaciones colectivas. De la experiencia al compromiso”, en Revista de Sociología, Nº 26, 2011, p. 137-166.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-Fillieule, Olivier y Tartakowsky, Danielle,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 manifestación. Cuando la acción colectiva toma las calles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Siglo XXI, Buenos Aires, 2015. Introducción (23-41) y Caps. 4 (99-128) y 5 (129-156).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Foucault, 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El gobierno de sí y de los otros,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FCE, Buenos Aires, 2009.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174" w:right="0" w:hanging="17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García Linera, Alvaro, “Sindicato, multitud y comunidad. Movimientos sociales y formas de autonomía política en Bolivia”, en Álvaro García Linera, Felipe Quispe, Raquel Gutiérrez, Raúl Prada y Luis Tapia, Tiempos de rebelión, La Paz, Comuna y Muela del Diablo, 2001.</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174" w:right="0" w:hanging="17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Habermas, J.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Facticidad y validez</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Trotta, Madrid, 2005.</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174" w:right="0" w:hanging="17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Habermas, Jürgen. Teoría de la acción comunicativa I y II, Taurus, Madrid, 1987.</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17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17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17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174" w:right="0" w:hanging="17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Habermas, Jürgen.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Pensamiento Postmetafísico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"Acciones, actos de habla, interacciones lingüísticamente mediadas y mundo de la vida" / "Crítica de la teoría del significado”.</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174" w:right="0" w:hanging="17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Habermas, J.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El discurso filosófico de la modernidad,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Katz, Buenos Aires, 2008.</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Jenkins, Craig, “La teoría de la movilización de recursos y el estudio de los movimientos sociales”, en Zona Abierta, Nº 69, Madrid, 1994, p. 5-50.</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McAdam, Doug, McCarthy, John y Zald, Mayer,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Movimientos sociales: perspectivas comparadas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Istmo, Madrid, 1999. Introducción: “Oportunidades, estructuras de movilización y procesos enmarcadores: hacia una perspectiva sintética y comparada de los movimientos sociales”, (21-46).</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McAdam, Doug; Sidney Tarrow y Charles Tilly,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Dinámica de la contienda política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Hacer Editorial, Barcelona, 2005. Capítulos 1 (3-40) y 2 (41-77).</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Melucci, Alberto, "Asumir un compromiso: identidad y movilización en los movimientos sociales", en Zona -Abierta Nº 69, Madrid, 1994, p. 153-178.</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Oferlé, Michel,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Perímetros de lo político: contribuciones a una socio-historia de la política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Editorial Antropofagia, Buenos Aires, 2011, p. 93-114.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Smelser, Neil,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Teoría del comportamiento colectivo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Fondo de Cultura Económica, México, p. 13-34.</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Tapia, Luis, “Movimientos sociales, movimientos societales y los no lugares de la política”, en Cuadernos del Pensamiento Crítico Latinoamericano, Nº 11, CLACSO, 2009.</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Tapia, Luis, “El Estado en condiciones de abigarramiento” en García Linera Álvaro, Prada Raúl, Tapia Luis y Vega Camacho Oscar El Estado. Campo de lucha, Muela del Diablo Ediciones, Comuna y CLACSO, La Paz, 2010, p: 95-125.</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Trom, Daniel, “Gramática de la movilización y vocabularios de motivos” en Natalucci Ana (ed.),</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Sujetos, movimientos y memorias. Sobre los relatos del pasado y los modos de confrontación contemporáneos,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Margen, La Plata, 2008, p. 21-48.</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Metodología de cursada y evaluación</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clases serán de tipo expositivas por parte del docente de los contenidos teóricos que propone el Curso. Asimismo, se promoverá el debate y la reflexión crítica sobre las distintas investigaciones consideradas.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la aprobación del Curso, los estudiantes pueden elegir entre dos opciones de evaluación.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cualquiera de las dos opciones, la fecha de entrega es fijada por la Secretaría de Estudios Avanzados.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escala de aprobación es entre 6 y 10.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Primera opción</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Presentación de un informe monográfico, donde se problematice alguno de los temas propuestos en las unidades del programa.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informe debe organizarse siguiendo el siguiente esquema: Introducción, un desarrollo y un apartado de reflexiones finales.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Respecto de su presentación, debe elaborarse en letra Times New Roman, letra 12, interlineado 1,5, con márgenes normales.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extensión máxima es de 15 páginas, con bibliografía incluida.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Segunda opción</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Responder dos consignas del listado correspondientes al mismo bloque, sea de acción colectiva o teoría social.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extensión máxima del trabajo es de 6 páginas, a razón de 3 páginas por pregunta.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presentación debe elaborarse en letra Times New Roman, letra 12, interlineado 1,5, con márgenes normales.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caso de optar por esta opción, el listado de consignas se entregará en la última clase. </w:t>
      </w:r>
    </w:p>
    <w:sectPr>
      <w:type w:val="continuous"/>
      <w:pgSz w:h="16840" w:w="11900" w:orient="portrait"/>
      <w:pgMar w:bottom="1417" w:top="1523" w:left="1701" w:right="1701" w:header="56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47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266701</wp:posOffset>
          </wp:positionH>
          <wp:positionV relativeFrom="page">
            <wp:posOffset>438148</wp:posOffset>
          </wp:positionV>
          <wp:extent cx="7089141" cy="760266"/>
          <wp:effectExtent b="0" l="0" r="0" t="0"/>
          <wp:wrapSquare wrapText="bothSides" distB="0" distT="0" distL="0" distR="0"/>
          <wp:docPr descr="image1.jpg" id="1073741827" name="image1.jpg"/>
          <a:graphic>
            <a:graphicData uri="http://schemas.openxmlformats.org/drawingml/2006/picture">
              <pic:pic>
                <pic:nvPicPr>
                  <pic:cNvPr descr="image1.jpg" id="0" name="image1.jpg"/>
                  <pic:cNvPicPr preferRelativeResize="0"/>
                </pic:nvPicPr>
                <pic:blipFill>
                  <a:blip r:embed="rId1"/>
                  <a:srcRect b="0" l="0" r="0" t="0"/>
                  <a:stretch>
                    <a:fillRect/>
                  </a:stretch>
                </pic:blipFill>
                <pic:spPr>
                  <a:xfrm>
                    <a:off x="0" y="0"/>
                    <a:ext cx="7089141" cy="76026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266701</wp:posOffset>
          </wp:positionH>
          <wp:positionV relativeFrom="page">
            <wp:posOffset>438148</wp:posOffset>
          </wp:positionV>
          <wp:extent cx="7089141" cy="760266"/>
          <wp:effectExtent b="0" l="0" r="0" t="0"/>
          <wp:wrapSquare wrapText="bothSides" distB="0" distT="0" distL="0" distR="0"/>
          <wp:docPr descr="image1.jpg" id="1073741828" name="image1.jpg"/>
          <a:graphic>
            <a:graphicData uri="http://schemas.openxmlformats.org/drawingml/2006/picture">
              <pic:pic>
                <pic:nvPicPr>
                  <pic:cNvPr descr="image1.jpg" id="0" name="image1.jpg"/>
                  <pic:cNvPicPr preferRelativeResize="0"/>
                </pic:nvPicPr>
                <pic:blipFill>
                  <a:blip r:embed="rId1"/>
                  <a:srcRect b="0" l="0" r="0" t="0"/>
                  <a:stretch>
                    <a:fillRect/>
                  </a:stretch>
                </pic:blipFill>
                <pic:spPr>
                  <a:xfrm>
                    <a:off x="0" y="0"/>
                    <a:ext cx="7089141" cy="76026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4" w:hanging="174"/>
      </w:pPr>
      <w:rPr>
        <w:smallCaps w:val="0"/>
        <w:strike w:val="0"/>
        <w:shd w:fill="auto" w:val="clear"/>
        <w:vertAlign w:val="baseline"/>
      </w:rPr>
    </w:lvl>
    <w:lvl w:ilvl="1">
      <w:start w:val="1"/>
      <w:numFmt w:val="bullet"/>
      <w:lvlText w:val="-"/>
      <w:lvlJc w:val="left"/>
      <w:pPr>
        <w:ind w:left="774" w:hanging="173.9999999999999"/>
      </w:pPr>
      <w:rPr>
        <w:smallCaps w:val="0"/>
        <w:strike w:val="0"/>
        <w:shd w:fill="auto" w:val="clear"/>
        <w:vertAlign w:val="baseline"/>
      </w:rPr>
    </w:lvl>
    <w:lvl w:ilvl="2">
      <w:start w:val="1"/>
      <w:numFmt w:val="bullet"/>
      <w:lvlText w:val="-"/>
      <w:lvlJc w:val="left"/>
      <w:pPr>
        <w:ind w:left="1374" w:hanging="174"/>
      </w:pPr>
      <w:rPr>
        <w:smallCaps w:val="0"/>
        <w:strike w:val="0"/>
        <w:shd w:fill="auto" w:val="clear"/>
        <w:vertAlign w:val="baseline"/>
      </w:rPr>
    </w:lvl>
    <w:lvl w:ilvl="3">
      <w:start w:val="1"/>
      <w:numFmt w:val="bullet"/>
      <w:lvlText w:val="-"/>
      <w:lvlJc w:val="left"/>
      <w:pPr>
        <w:ind w:left="1974" w:hanging="174"/>
      </w:pPr>
      <w:rPr>
        <w:smallCaps w:val="0"/>
        <w:strike w:val="0"/>
        <w:shd w:fill="auto" w:val="clear"/>
        <w:vertAlign w:val="baseline"/>
      </w:rPr>
    </w:lvl>
    <w:lvl w:ilvl="4">
      <w:start w:val="1"/>
      <w:numFmt w:val="bullet"/>
      <w:lvlText w:val="-"/>
      <w:lvlJc w:val="left"/>
      <w:pPr>
        <w:ind w:left="2574" w:hanging="174.00000000000045"/>
      </w:pPr>
      <w:rPr>
        <w:smallCaps w:val="0"/>
        <w:strike w:val="0"/>
        <w:shd w:fill="auto" w:val="clear"/>
        <w:vertAlign w:val="baseline"/>
      </w:rPr>
    </w:lvl>
    <w:lvl w:ilvl="5">
      <w:start w:val="1"/>
      <w:numFmt w:val="bullet"/>
      <w:lvlText w:val="-"/>
      <w:lvlJc w:val="left"/>
      <w:pPr>
        <w:ind w:left="3174" w:hanging="174"/>
      </w:pPr>
      <w:rPr>
        <w:smallCaps w:val="0"/>
        <w:strike w:val="0"/>
        <w:shd w:fill="auto" w:val="clear"/>
        <w:vertAlign w:val="baseline"/>
      </w:rPr>
    </w:lvl>
    <w:lvl w:ilvl="6">
      <w:start w:val="1"/>
      <w:numFmt w:val="bullet"/>
      <w:lvlText w:val="-"/>
      <w:lvlJc w:val="left"/>
      <w:pPr>
        <w:ind w:left="3774" w:hanging="174"/>
      </w:pPr>
      <w:rPr>
        <w:smallCaps w:val="0"/>
        <w:strike w:val="0"/>
        <w:shd w:fill="auto" w:val="clear"/>
        <w:vertAlign w:val="baseline"/>
      </w:rPr>
    </w:lvl>
    <w:lvl w:ilvl="7">
      <w:start w:val="1"/>
      <w:numFmt w:val="bullet"/>
      <w:lvlText w:val="-"/>
      <w:lvlJc w:val="left"/>
      <w:pPr>
        <w:ind w:left="4374" w:hanging="174"/>
      </w:pPr>
      <w:rPr>
        <w:smallCaps w:val="0"/>
        <w:strike w:val="0"/>
        <w:shd w:fill="auto" w:val="clear"/>
        <w:vertAlign w:val="baseline"/>
      </w:rPr>
    </w:lvl>
    <w:lvl w:ilvl="8">
      <w:start w:val="1"/>
      <w:numFmt w:val="bullet"/>
      <w:lvlText w:val="-"/>
      <w:lvlJc w:val="left"/>
      <w:pPr>
        <w:ind w:left="4974" w:hanging="174"/>
      </w:pPr>
      <w:rPr>
        <w:smallCaps w:val="0"/>
        <w:strike w:val="0"/>
        <w:shd w:fill="auto" w:val="clear"/>
        <w:vertAlign w:val="baseline"/>
      </w:rPr>
    </w:lvl>
  </w:abstractNum>
  <w:abstractNum w:abstractNumId="2">
    <w:lvl w:ilvl="0">
      <w:start w:val="1"/>
      <w:numFmt w:val="bullet"/>
      <w:lvlText w:val="-"/>
      <w:lvlJc w:val="left"/>
      <w:pPr>
        <w:ind w:left="174" w:hanging="174"/>
      </w:pPr>
      <w:rPr>
        <w:smallCaps w:val="0"/>
        <w:strike w:val="0"/>
        <w:shd w:fill="auto" w:val="clear"/>
        <w:vertAlign w:val="baseline"/>
      </w:rPr>
    </w:lvl>
    <w:lvl w:ilvl="1">
      <w:start w:val="1"/>
      <w:numFmt w:val="bullet"/>
      <w:lvlText w:val="-"/>
      <w:lvlJc w:val="left"/>
      <w:pPr>
        <w:ind w:left="774" w:hanging="173.9999999999999"/>
      </w:pPr>
      <w:rPr>
        <w:smallCaps w:val="0"/>
        <w:strike w:val="0"/>
        <w:shd w:fill="auto" w:val="clear"/>
        <w:vertAlign w:val="baseline"/>
      </w:rPr>
    </w:lvl>
    <w:lvl w:ilvl="2">
      <w:start w:val="1"/>
      <w:numFmt w:val="bullet"/>
      <w:lvlText w:val="-"/>
      <w:lvlJc w:val="left"/>
      <w:pPr>
        <w:ind w:left="1374" w:hanging="174"/>
      </w:pPr>
      <w:rPr>
        <w:smallCaps w:val="0"/>
        <w:strike w:val="0"/>
        <w:shd w:fill="auto" w:val="clear"/>
        <w:vertAlign w:val="baseline"/>
      </w:rPr>
    </w:lvl>
    <w:lvl w:ilvl="3">
      <w:start w:val="1"/>
      <w:numFmt w:val="bullet"/>
      <w:lvlText w:val="-"/>
      <w:lvlJc w:val="left"/>
      <w:pPr>
        <w:ind w:left="1974" w:hanging="174"/>
      </w:pPr>
      <w:rPr>
        <w:smallCaps w:val="0"/>
        <w:strike w:val="0"/>
        <w:shd w:fill="auto" w:val="clear"/>
        <w:vertAlign w:val="baseline"/>
      </w:rPr>
    </w:lvl>
    <w:lvl w:ilvl="4">
      <w:start w:val="1"/>
      <w:numFmt w:val="bullet"/>
      <w:lvlText w:val="-"/>
      <w:lvlJc w:val="left"/>
      <w:pPr>
        <w:ind w:left="2574" w:hanging="174.00000000000045"/>
      </w:pPr>
      <w:rPr>
        <w:smallCaps w:val="0"/>
        <w:strike w:val="0"/>
        <w:shd w:fill="auto" w:val="clear"/>
        <w:vertAlign w:val="baseline"/>
      </w:rPr>
    </w:lvl>
    <w:lvl w:ilvl="5">
      <w:start w:val="1"/>
      <w:numFmt w:val="bullet"/>
      <w:lvlText w:val="-"/>
      <w:lvlJc w:val="left"/>
      <w:pPr>
        <w:ind w:left="3174" w:hanging="174"/>
      </w:pPr>
      <w:rPr>
        <w:smallCaps w:val="0"/>
        <w:strike w:val="0"/>
        <w:shd w:fill="auto" w:val="clear"/>
        <w:vertAlign w:val="baseline"/>
      </w:rPr>
    </w:lvl>
    <w:lvl w:ilvl="6">
      <w:start w:val="1"/>
      <w:numFmt w:val="bullet"/>
      <w:lvlText w:val="-"/>
      <w:lvlJc w:val="left"/>
      <w:pPr>
        <w:ind w:left="3774" w:hanging="174"/>
      </w:pPr>
      <w:rPr>
        <w:smallCaps w:val="0"/>
        <w:strike w:val="0"/>
        <w:shd w:fill="auto" w:val="clear"/>
        <w:vertAlign w:val="baseline"/>
      </w:rPr>
    </w:lvl>
    <w:lvl w:ilvl="7">
      <w:start w:val="1"/>
      <w:numFmt w:val="bullet"/>
      <w:lvlText w:val="-"/>
      <w:lvlJc w:val="left"/>
      <w:pPr>
        <w:ind w:left="4374" w:hanging="174"/>
      </w:pPr>
      <w:rPr>
        <w:smallCaps w:val="0"/>
        <w:strike w:val="0"/>
        <w:shd w:fill="auto" w:val="clear"/>
        <w:vertAlign w:val="baseline"/>
      </w:rPr>
    </w:lvl>
    <w:lvl w:ilvl="8">
      <w:start w:val="1"/>
      <w:numFmt w:val="bullet"/>
      <w:lvlText w:val="-"/>
      <w:lvlJc w:val="left"/>
      <w:pPr>
        <w:ind w:left="4974" w:hanging="174"/>
      </w:pPr>
      <w:rPr>
        <w:smallCaps w:val="0"/>
        <w:strike w:val="0"/>
        <w:shd w:fill="auto" w:val="clea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Body" w:customStyle="1">
    <w:name w:val="Body"/>
    <w:pPr>
      <w:spacing w:after="160" w:line="259" w:lineRule="auto"/>
    </w:pPr>
    <w:rPr>
      <w:rFonts w:ascii="Calibri" w:cs="Arial Unicode MS" w:hAnsi="Calibri"/>
      <w:color w:val="000000"/>
      <w:sz w:val="22"/>
      <w:szCs w:val="22"/>
      <w:u w:color="000000"/>
      <w14:textOutline w14:cap="flat" w14:cmpd="sng" w14:algn="ctr">
        <w14:noFill/>
        <w14:prstDash w14:val="solid"/>
        <w14:bevel/>
      </w14:textOutlin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Prrafodelista">
    <w:name w:val="List Paragraph"/>
    <w:pPr>
      <w:spacing w:after="160" w:line="259" w:lineRule="auto"/>
      <w:ind w:left="720"/>
    </w:pPr>
    <w:rPr>
      <w:rFonts w:ascii="Calibri" w:cs="Arial Unicode MS" w:hAnsi="Calibri"/>
      <w:color w:val="000000"/>
      <w:sz w:val="22"/>
      <w:szCs w:val="22"/>
      <w:u w:color="000000"/>
      <w:lang w:val="es-ES_tradnl"/>
    </w:rPr>
  </w:style>
  <w:style w:type="numbering" w:styleId="ImportedStyle1" w:customStyle="1">
    <w:name w:val="Imported Style 1"/>
    <w:pPr>
      <w:numPr>
        <w:numId w:val="1"/>
      </w:numPr>
    </w:pPr>
  </w:style>
  <w:style w:type="numbering" w:styleId="Bullets" w:customStyle="1">
    <w:name w:val="Bullets"/>
    <w:pPr>
      <w:numPr>
        <w:numId w:val="3"/>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8EoXDpDoFtSq7hrMaCJF/suwqQ==">AMUW2mWQ0uBrPGjN2u2GUydq7i6VnS33eNZizP2sy2V7T6MUHJhWc423uOflSDiqlH/8h8wgZv2uAgSKWoeMDrql3u+nFoSxHQHSriklOXk437bsNsz2+iT2wCoOcuC9+od2v4ZOeVns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2020-03-04T11:19:00Z</dcterms:created>
</cp:coreProperties>
</file>