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9E" w:rsidRPr="00E22989" w:rsidRDefault="001A5117">
      <w:pPr>
        <w:jc w:val="center"/>
        <w:rPr>
          <w:rFonts w:ascii="Teko" w:eastAsia="Teko" w:hAnsi="Teko" w:cs="Teko"/>
          <w:b/>
          <w:sz w:val="40"/>
          <w:szCs w:val="40"/>
        </w:rPr>
      </w:pPr>
      <w:r w:rsidRPr="00E22989">
        <w:rPr>
          <w:rFonts w:ascii="Teko" w:eastAsia="Teko" w:hAnsi="Teko" w:cs="Teko"/>
          <w:b/>
          <w:sz w:val="40"/>
          <w:szCs w:val="40"/>
        </w:rPr>
        <w:t>M</w:t>
      </w:r>
      <w:bookmarkStart w:id="0" w:name="_GoBack"/>
      <w:r w:rsidRPr="00E22989">
        <w:rPr>
          <w:rFonts w:ascii="Teko" w:eastAsia="Teko" w:hAnsi="Teko" w:cs="Teko"/>
          <w:b/>
          <w:sz w:val="40"/>
          <w:szCs w:val="40"/>
        </w:rPr>
        <w:t>aestr</w:t>
      </w:r>
      <w:bookmarkEnd w:id="0"/>
      <w:r w:rsidRPr="00E22989">
        <w:rPr>
          <w:rFonts w:ascii="Teko" w:eastAsia="Teko" w:hAnsi="Teko" w:cs="Teko"/>
          <w:b/>
          <w:sz w:val="40"/>
          <w:szCs w:val="40"/>
        </w:rPr>
        <w:t xml:space="preserve">ía en </w:t>
      </w:r>
      <w:r w:rsidR="00C8266C" w:rsidRPr="00E22989">
        <w:rPr>
          <w:rFonts w:ascii="Teko" w:eastAsia="Teko" w:hAnsi="Teko" w:cs="Teko"/>
          <w:b/>
          <w:sz w:val="40"/>
          <w:szCs w:val="40"/>
        </w:rPr>
        <w:t>Política Social</w:t>
      </w:r>
      <w:r w:rsidRPr="00E22989">
        <w:rPr>
          <w:rFonts w:ascii="Teko" w:eastAsia="Teko" w:hAnsi="Teko" w:cs="Teko"/>
          <w:b/>
          <w:sz w:val="40"/>
          <w:szCs w:val="40"/>
        </w:rPr>
        <w:t>– Ciclo lectivo 202</w:t>
      </w:r>
      <w:r w:rsidR="00C8266C" w:rsidRPr="00E22989">
        <w:rPr>
          <w:rFonts w:ascii="Teko" w:eastAsia="Teko" w:hAnsi="Teko" w:cs="Teko"/>
          <w:b/>
          <w:sz w:val="40"/>
          <w:szCs w:val="40"/>
        </w:rPr>
        <w:t>1</w:t>
      </w:r>
    </w:p>
    <w:p w:rsidR="00F2149E" w:rsidRPr="00E22989" w:rsidRDefault="00B759EB">
      <w:pPr>
        <w:jc w:val="center"/>
        <w:rPr>
          <w:b/>
          <w:sz w:val="28"/>
          <w:szCs w:val="28"/>
        </w:rPr>
      </w:pPr>
      <w:r w:rsidRPr="00E22989">
        <w:rPr>
          <w:rFonts w:ascii="Teko" w:eastAsia="Teko" w:hAnsi="Teko" w:cs="Teko"/>
          <w:b/>
          <w:sz w:val="52"/>
          <w:szCs w:val="52"/>
        </w:rPr>
        <w:t>La producción cultural de la política</w:t>
      </w:r>
      <w:r w:rsidR="00C8266C" w:rsidRPr="00E22989">
        <w:rPr>
          <w:rFonts w:ascii="Teko" w:eastAsia="Teko" w:hAnsi="Teko" w:cs="Teko"/>
          <w:b/>
          <w:sz w:val="52"/>
          <w:szCs w:val="52"/>
        </w:rPr>
        <w:t xml:space="preserve"> social</w:t>
      </w:r>
    </w:p>
    <w:p w:rsidR="00F2149E" w:rsidRPr="00E22989" w:rsidRDefault="00F2149E">
      <w:pPr>
        <w:jc w:val="both"/>
        <w:rPr>
          <w:b/>
          <w:sz w:val="28"/>
          <w:szCs w:val="28"/>
        </w:rPr>
      </w:pPr>
    </w:p>
    <w:p w:rsidR="00F2149E" w:rsidRPr="00E22989" w:rsidRDefault="00F2149E">
      <w:pPr>
        <w:jc w:val="both"/>
        <w:rPr>
          <w:b/>
          <w:sz w:val="28"/>
          <w:szCs w:val="28"/>
        </w:rPr>
        <w:sectPr w:rsidR="00F2149E" w:rsidRPr="00E22989">
          <w:headerReference w:type="default" r:id="rId7"/>
          <w:pgSz w:w="11906" w:h="16838"/>
          <w:pgMar w:top="1985" w:right="1701" w:bottom="1417" w:left="1701" w:header="568" w:footer="708" w:gutter="0"/>
          <w:pgNumType w:start="1"/>
          <w:cols w:space="720" w:equalWidth="0">
            <w:col w:w="8838"/>
          </w:cols>
        </w:sectPr>
      </w:pPr>
    </w:p>
    <w:p w:rsidR="00F2149E" w:rsidRPr="00E22989" w:rsidRDefault="001A5117">
      <w:pPr>
        <w:jc w:val="both"/>
        <w:rPr>
          <w:b/>
          <w:sz w:val="32"/>
          <w:szCs w:val="32"/>
        </w:rPr>
      </w:pPr>
      <w:r w:rsidRPr="00E22989">
        <w:rPr>
          <w:b/>
          <w:sz w:val="32"/>
          <w:szCs w:val="32"/>
        </w:rPr>
        <w:lastRenderedPageBreak/>
        <w:t>Docente(s)</w:t>
      </w:r>
    </w:p>
    <w:p w:rsidR="00F2149E" w:rsidRPr="00E22989" w:rsidRDefault="00F2149E">
      <w:pPr>
        <w:jc w:val="both"/>
        <w:rPr>
          <w:b/>
          <w:sz w:val="24"/>
          <w:szCs w:val="24"/>
        </w:rPr>
        <w:sectPr w:rsidR="00F2149E" w:rsidRPr="00E22989">
          <w:type w:val="continuous"/>
          <w:pgSz w:w="11906" w:h="16838"/>
          <w:pgMar w:top="1523" w:right="1701" w:bottom="1417" w:left="1701" w:header="568" w:footer="708" w:gutter="0"/>
          <w:cols w:space="720" w:equalWidth="0">
            <w:col w:w="8838"/>
          </w:cols>
        </w:sectPr>
      </w:pPr>
    </w:p>
    <w:p w:rsidR="00F2149E" w:rsidRPr="00E22989" w:rsidRDefault="00CA1617">
      <w:pPr>
        <w:spacing w:line="240" w:lineRule="auto"/>
        <w:jc w:val="both"/>
        <w:rPr>
          <w:b/>
          <w:sz w:val="28"/>
          <w:szCs w:val="28"/>
        </w:rPr>
      </w:pPr>
      <w:r w:rsidRPr="00E22989">
        <w:rPr>
          <w:b/>
          <w:sz w:val="28"/>
          <w:szCs w:val="28"/>
        </w:rPr>
        <w:lastRenderedPageBreak/>
        <w:t>Estela Grassi</w:t>
      </w:r>
    </w:p>
    <w:p w:rsidR="00612558" w:rsidRPr="00E22989" w:rsidRDefault="00612558">
      <w:pPr>
        <w:spacing w:line="240" w:lineRule="auto"/>
        <w:jc w:val="both"/>
      </w:pPr>
    </w:p>
    <w:p w:rsidR="00612558" w:rsidRPr="00E22989" w:rsidRDefault="00612558">
      <w:pPr>
        <w:spacing w:line="240" w:lineRule="auto"/>
        <w:jc w:val="both"/>
      </w:pPr>
    </w:p>
    <w:p w:rsidR="00612558" w:rsidRPr="00E22989" w:rsidRDefault="00612558">
      <w:pPr>
        <w:spacing w:line="240" w:lineRule="auto"/>
        <w:jc w:val="both"/>
      </w:pPr>
    </w:p>
    <w:p w:rsidR="00612558" w:rsidRPr="00E22989" w:rsidRDefault="00612558">
      <w:pPr>
        <w:spacing w:line="240" w:lineRule="auto"/>
        <w:jc w:val="both"/>
      </w:pPr>
    </w:p>
    <w:p w:rsidR="00612558" w:rsidRPr="00E22989" w:rsidRDefault="00612558">
      <w:pPr>
        <w:spacing w:line="240" w:lineRule="auto"/>
        <w:jc w:val="both"/>
      </w:pPr>
    </w:p>
    <w:p w:rsidR="00612558" w:rsidRPr="00E22989" w:rsidRDefault="00612558">
      <w:pPr>
        <w:spacing w:line="240" w:lineRule="auto"/>
        <w:jc w:val="both"/>
        <w:rPr>
          <w:b/>
          <w:sz w:val="28"/>
          <w:szCs w:val="28"/>
        </w:rPr>
      </w:pPr>
    </w:p>
    <w:p w:rsidR="00612558" w:rsidRPr="00E22989" w:rsidRDefault="00612558">
      <w:pPr>
        <w:spacing w:line="240" w:lineRule="auto"/>
        <w:jc w:val="both"/>
        <w:rPr>
          <w:b/>
          <w:sz w:val="28"/>
          <w:szCs w:val="28"/>
        </w:rPr>
      </w:pPr>
    </w:p>
    <w:p w:rsidR="00612558" w:rsidRPr="00E22989" w:rsidRDefault="00612558">
      <w:pPr>
        <w:spacing w:line="240" w:lineRule="auto"/>
        <w:jc w:val="both"/>
        <w:rPr>
          <w:b/>
          <w:sz w:val="28"/>
          <w:szCs w:val="28"/>
        </w:rPr>
      </w:pPr>
      <w:r w:rsidRPr="00E22989">
        <w:rPr>
          <w:b/>
          <w:sz w:val="28"/>
          <w:szCs w:val="28"/>
        </w:rPr>
        <w:t>Eliana Lijterman</w:t>
      </w:r>
    </w:p>
    <w:p w:rsidR="00F2149E" w:rsidRPr="00E22989" w:rsidRDefault="001A5117">
      <w:pPr>
        <w:spacing w:line="240" w:lineRule="auto"/>
        <w:jc w:val="both"/>
        <w:rPr>
          <w:sz w:val="24"/>
          <w:szCs w:val="24"/>
        </w:rPr>
      </w:pPr>
      <w:r w:rsidRPr="00E22989">
        <w:rPr>
          <w:b/>
          <w:sz w:val="28"/>
          <w:szCs w:val="28"/>
        </w:rPr>
        <w:br w:type="column"/>
      </w:r>
      <w:r w:rsidRPr="00E22989">
        <w:rPr>
          <w:sz w:val="24"/>
          <w:szCs w:val="24"/>
        </w:rPr>
        <w:lastRenderedPageBreak/>
        <w:t xml:space="preserve">Licenciada en </w:t>
      </w:r>
      <w:r w:rsidR="00CA1617" w:rsidRPr="00E22989">
        <w:rPr>
          <w:sz w:val="24"/>
          <w:szCs w:val="24"/>
        </w:rPr>
        <w:t xml:space="preserve">Trabajo </w:t>
      </w:r>
      <w:r w:rsidRPr="00E22989">
        <w:rPr>
          <w:sz w:val="24"/>
          <w:szCs w:val="24"/>
        </w:rPr>
        <w:t>Soci</w:t>
      </w:r>
      <w:r w:rsidR="00CA1617" w:rsidRPr="00E22989">
        <w:rPr>
          <w:sz w:val="24"/>
          <w:szCs w:val="24"/>
        </w:rPr>
        <w:t xml:space="preserve">al; Licenciada en Ciencias Antropológicas </w:t>
      </w:r>
      <w:r w:rsidRPr="00E22989">
        <w:rPr>
          <w:sz w:val="24"/>
          <w:szCs w:val="24"/>
        </w:rPr>
        <w:t xml:space="preserve">y Doctora </w:t>
      </w:r>
      <w:r w:rsidR="00CA1617" w:rsidRPr="00E22989">
        <w:rPr>
          <w:sz w:val="24"/>
          <w:szCs w:val="24"/>
        </w:rPr>
        <w:t>de la FFyL-UBA- Mención Antropología Social.</w:t>
      </w:r>
      <w:r w:rsidRPr="00E22989">
        <w:rPr>
          <w:sz w:val="24"/>
          <w:szCs w:val="24"/>
        </w:rPr>
        <w:t xml:space="preserve"> Investigadora </w:t>
      </w:r>
      <w:r w:rsidR="00CA1617" w:rsidRPr="00E22989">
        <w:rPr>
          <w:sz w:val="24"/>
          <w:szCs w:val="24"/>
        </w:rPr>
        <w:t>en el Institu</w:t>
      </w:r>
      <w:r w:rsidR="00612558" w:rsidRPr="00E22989">
        <w:rPr>
          <w:sz w:val="24"/>
          <w:szCs w:val="24"/>
        </w:rPr>
        <w:t>t</w:t>
      </w:r>
      <w:r w:rsidR="00CA1617" w:rsidRPr="00E22989">
        <w:rPr>
          <w:sz w:val="24"/>
          <w:szCs w:val="24"/>
        </w:rPr>
        <w:t xml:space="preserve">o </w:t>
      </w:r>
      <w:r w:rsidR="00612558" w:rsidRPr="00E22989">
        <w:rPr>
          <w:sz w:val="24"/>
          <w:szCs w:val="24"/>
        </w:rPr>
        <w:t>de Investigaciones “</w:t>
      </w:r>
      <w:r w:rsidR="00CA1617" w:rsidRPr="00E22989">
        <w:rPr>
          <w:sz w:val="24"/>
          <w:szCs w:val="24"/>
        </w:rPr>
        <w:t>Gino Germani</w:t>
      </w:r>
      <w:r w:rsidR="00612558" w:rsidRPr="00E22989">
        <w:rPr>
          <w:sz w:val="24"/>
          <w:szCs w:val="24"/>
        </w:rPr>
        <w:t>” (Grupo de Estudios sobre Condiciones de Trabajo y Política Social)</w:t>
      </w:r>
      <w:r w:rsidRPr="00E22989">
        <w:rPr>
          <w:sz w:val="24"/>
          <w:szCs w:val="24"/>
        </w:rPr>
        <w:t xml:space="preserve"> y Profesora</w:t>
      </w:r>
      <w:r w:rsidR="00CA1617" w:rsidRPr="00E22989">
        <w:rPr>
          <w:sz w:val="24"/>
          <w:szCs w:val="24"/>
        </w:rPr>
        <w:t xml:space="preserve"> Consulta Titula</w:t>
      </w:r>
      <w:r w:rsidR="00612558" w:rsidRPr="00E22989">
        <w:rPr>
          <w:sz w:val="24"/>
          <w:szCs w:val="24"/>
        </w:rPr>
        <w:t>r</w:t>
      </w:r>
      <w:r w:rsidR="00CA1617" w:rsidRPr="00E22989">
        <w:rPr>
          <w:sz w:val="24"/>
          <w:szCs w:val="24"/>
        </w:rPr>
        <w:t xml:space="preserve"> de la</w:t>
      </w:r>
      <w:r w:rsidR="00612558" w:rsidRPr="00E22989">
        <w:rPr>
          <w:sz w:val="24"/>
          <w:szCs w:val="24"/>
        </w:rPr>
        <w:t xml:space="preserve"> Facultad de Ciencias Sociales de la UBA</w:t>
      </w:r>
      <w:r w:rsidRPr="00E22989">
        <w:rPr>
          <w:sz w:val="24"/>
          <w:szCs w:val="24"/>
        </w:rPr>
        <w:t xml:space="preserve">. </w:t>
      </w:r>
    </w:p>
    <w:p w:rsidR="00CA1617" w:rsidRPr="00E22989" w:rsidRDefault="00CA1617">
      <w:pPr>
        <w:spacing w:line="240" w:lineRule="auto"/>
        <w:jc w:val="both"/>
        <w:rPr>
          <w:sz w:val="28"/>
          <w:szCs w:val="28"/>
        </w:rPr>
      </w:pPr>
    </w:p>
    <w:p w:rsidR="00612558" w:rsidRPr="00E22989" w:rsidRDefault="00612558">
      <w:pPr>
        <w:spacing w:line="240" w:lineRule="auto"/>
        <w:jc w:val="both"/>
        <w:rPr>
          <w:sz w:val="24"/>
          <w:szCs w:val="24"/>
        </w:rPr>
      </w:pPr>
      <w:r w:rsidRPr="00E22989">
        <w:rPr>
          <w:sz w:val="24"/>
          <w:szCs w:val="24"/>
        </w:rPr>
        <w:t xml:space="preserve">Licenciada en Trabajo Social (UBA). Magíster en Investigación en Ciencias Sociales y Doctoranda en Ciencias Sociales (UBA). Docente en la Carrera de Trabajo Social (UBA) y miembro del Grupo de Estudios sobre Condiciones de Trabajo y Política Social del Instituto de Investigaciones “Gino Germani” de la Facultad de Ciencias Sociales. </w:t>
      </w:r>
    </w:p>
    <w:p w:rsidR="00612558" w:rsidRPr="00E22989" w:rsidRDefault="00612558">
      <w:pPr>
        <w:spacing w:line="240" w:lineRule="auto"/>
        <w:jc w:val="both"/>
        <w:rPr>
          <w:sz w:val="28"/>
          <w:szCs w:val="28"/>
        </w:rPr>
      </w:pPr>
    </w:p>
    <w:p w:rsidR="00612558" w:rsidRPr="00E22989" w:rsidRDefault="00612558">
      <w:pPr>
        <w:spacing w:line="240" w:lineRule="auto"/>
        <w:jc w:val="both"/>
        <w:rPr>
          <w:sz w:val="28"/>
          <w:szCs w:val="28"/>
        </w:rPr>
        <w:sectPr w:rsidR="00612558" w:rsidRPr="00E22989">
          <w:type w:val="continuous"/>
          <w:pgSz w:w="11906" w:h="16838"/>
          <w:pgMar w:top="1523" w:right="1701" w:bottom="1417" w:left="1701" w:header="568" w:footer="708" w:gutter="0"/>
          <w:cols w:num="2" w:space="720" w:equalWidth="0">
            <w:col w:w="3897" w:space="708"/>
            <w:col w:w="3897" w:space="0"/>
          </w:cols>
        </w:sectPr>
      </w:pPr>
    </w:p>
    <w:p w:rsidR="00F2149E" w:rsidRPr="00E22989" w:rsidRDefault="001A5117">
      <w:pPr>
        <w:spacing w:line="240" w:lineRule="auto"/>
        <w:jc w:val="both"/>
        <w:rPr>
          <w:b/>
          <w:sz w:val="28"/>
          <w:szCs w:val="28"/>
        </w:rPr>
      </w:pPr>
      <w:r w:rsidRPr="00E22989">
        <w:rPr>
          <w:b/>
          <w:sz w:val="28"/>
          <w:szCs w:val="28"/>
        </w:rPr>
        <w:lastRenderedPageBreak/>
        <w:t xml:space="preserve">Fundamentación </w:t>
      </w:r>
    </w:p>
    <w:p w:rsidR="00F2149E" w:rsidRPr="00E22989" w:rsidRDefault="00451120">
      <w:pPr>
        <w:spacing w:line="240" w:lineRule="auto"/>
        <w:jc w:val="both"/>
        <w:rPr>
          <w:sz w:val="24"/>
          <w:szCs w:val="24"/>
        </w:rPr>
      </w:pPr>
      <w:r w:rsidRPr="00E22989">
        <w:rPr>
          <w:sz w:val="24"/>
          <w:szCs w:val="24"/>
        </w:rPr>
        <w:t xml:space="preserve">El Programa se organiza </w:t>
      </w:r>
      <w:r w:rsidR="00612558" w:rsidRPr="00E22989">
        <w:rPr>
          <w:sz w:val="24"/>
          <w:szCs w:val="24"/>
        </w:rPr>
        <w:t xml:space="preserve">en </w:t>
      </w:r>
      <w:r w:rsidRPr="00E22989">
        <w:rPr>
          <w:sz w:val="24"/>
          <w:szCs w:val="24"/>
        </w:rPr>
        <w:t xml:space="preserve">sesiones de </w:t>
      </w:r>
      <w:r w:rsidR="00F65CC0" w:rsidRPr="00E22989">
        <w:rPr>
          <w:sz w:val="24"/>
          <w:szCs w:val="24"/>
        </w:rPr>
        <w:t xml:space="preserve">reflexión y estudio </w:t>
      </w:r>
      <w:r w:rsidR="00090012" w:rsidRPr="00E22989">
        <w:rPr>
          <w:sz w:val="24"/>
          <w:szCs w:val="24"/>
        </w:rPr>
        <w:t xml:space="preserve">de cada uno de los ítems del curso,  </w:t>
      </w:r>
      <w:r w:rsidR="00F65CC0" w:rsidRPr="00E22989">
        <w:rPr>
          <w:sz w:val="24"/>
          <w:szCs w:val="24"/>
        </w:rPr>
        <w:t xml:space="preserve">para lo que se dispone </w:t>
      </w:r>
      <w:r w:rsidR="00612558" w:rsidRPr="00E22989">
        <w:rPr>
          <w:sz w:val="24"/>
          <w:szCs w:val="24"/>
        </w:rPr>
        <w:t>de</w:t>
      </w:r>
      <w:r w:rsidR="00F65CC0" w:rsidRPr="00E22989">
        <w:rPr>
          <w:sz w:val="24"/>
          <w:szCs w:val="24"/>
        </w:rPr>
        <w:t xml:space="preserve"> bibliografía que aporta al análisis crítico y la construcción del problema en cada caso. Se pretende desarrollar </w:t>
      </w:r>
      <w:r w:rsidR="00612558" w:rsidRPr="00E22989">
        <w:rPr>
          <w:sz w:val="24"/>
          <w:szCs w:val="24"/>
        </w:rPr>
        <w:t>el seminario</w:t>
      </w:r>
      <w:r w:rsidR="00F65CC0" w:rsidRPr="00E22989">
        <w:rPr>
          <w:sz w:val="24"/>
          <w:szCs w:val="24"/>
        </w:rPr>
        <w:t xml:space="preserve"> como un programa de estudio de problemas concatenados, más que de “unidades”,  por lo que se demanda el compromiso activo de l</w:t>
      </w:r>
      <w:r w:rsidR="00612558" w:rsidRPr="00E22989">
        <w:rPr>
          <w:sz w:val="24"/>
          <w:szCs w:val="24"/>
        </w:rPr>
        <w:t>as/</w:t>
      </w:r>
      <w:r w:rsidR="00F65CC0" w:rsidRPr="00E22989">
        <w:rPr>
          <w:sz w:val="24"/>
          <w:szCs w:val="24"/>
        </w:rPr>
        <w:t>os estudiantes</w:t>
      </w:r>
      <w:r w:rsidR="00612558" w:rsidRPr="00E22989">
        <w:rPr>
          <w:sz w:val="24"/>
          <w:szCs w:val="24"/>
        </w:rPr>
        <w:t xml:space="preserve"> a través de la lectura y la interpelación del material</w:t>
      </w:r>
      <w:r w:rsidR="00F65CC0" w:rsidRPr="00E22989">
        <w:rPr>
          <w:sz w:val="24"/>
          <w:szCs w:val="24"/>
        </w:rPr>
        <w:t>.</w:t>
      </w:r>
    </w:p>
    <w:p w:rsidR="00F2149E" w:rsidRPr="00E22989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Pr="00E22989" w:rsidRDefault="001A5117">
      <w:pPr>
        <w:spacing w:line="240" w:lineRule="auto"/>
        <w:jc w:val="both"/>
        <w:rPr>
          <w:b/>
          <w:sz w:val="28"/>
          <w:szCs w:val="28"/>
        </w:rPr>
      </w:pPr>
      <w:r w:rsidRPr="00E22989">
        <w:rPr>
          <w:b/>
          <w:sz w:val="28"/>
          <w:szCs w:val="28"/>
        </w:rPr>
        <w:t>Objetivos</w:t>
      </w:r>
    </w:p>
    <w:p w:rsidR="00F2149E" w:rsidRPr="00E22989" w:rsidRDefault="00CA1617" w:rsidP="00451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lastRenderedPageBreak/>
        <w:t>Introducir a l</w:t>
      </w:r>
      <w:r w:rsidR="00612558" w:rsidRPr="00E22989">
        <w:rPr>
          <w:rFonts w:ascii="Cambria" w:eastAsia="Batang" w:hAnsi="Cambria"/>
          <w:sz w:val="24"/>
          <w:szCs w:val="24"/>
        </w:rPr>
        <w:t>as/</w:t>
      </w:r>
      <w:r w:rsidRPr="00E22989">
        <w:rPr>
          <w:rFonts w:ascii="Cambria" w:eastAsia="Batang" w:hAnsi="Cambria"/>
          <w:sz w:val="24"/>
          <w:szCs w:val="24"/>
        </w:rPr>
        <w:t>os participantes en una perspectiva de análisis político-cu</w:t>
      </w:r>
      <w:r w:rsidR="00612558" w:rsidRPr="00E22989">
        <w:rPr>
          <w:rFonts w:ascii="Cambria" w:eastAsia="Batang" w:hAnsi="Cambria"/>
          <w:sz w:val="24"/>
          <w:szCs w:val="24"/>
        </w:rPr>
        <w:t>l</w:t>
      </w:r>
      <w:r w:rsidRPr="00E22989">
        <w:rPr>
          <w:rFonts w:ascii="Cambria" w:eastAsia="Batang" w:hAnsi="Cambria"/>
          <w:sz w:val="24"/>
          <w:szCs w:val="24"/>
        </w:rPr>
        <w:t>tural de las políticas sociales y su lugar en la producción de sentidos y de identidades sociales.</w:t>
      </w:r>
      <w:r w:rsidR="001A5117" w:rsidRPr="00E22989">
        <w:rPr>
          <w:sz w:val="24"/>
          <w:szCs w:val="24"/>
        </w:rPr>
        <w:t xml:space="preserve"> </w:t>
      </w:r>
    </w:p>
    <w:p w:rsidR="00F2149E" w:rsidRPr="00E22989" w:rsidRDefault="00451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sz w:val="24"/>
          <w:szCs w:val="24"/>
        </w:rPr>
      </w:pPr>
      <w:r w:rsidRPr="00E22989">
        <w:rPr>
          <w:sz w:val="24"/>
          <w:szCs w:val="24"/>
        </w:rPr>
        <w:t>Reflexionar acerca de los procesos político-culturales de producción de problemas sociales y su relación con la política social.</w:t>
      </w:r>
    </w:p>
    <w:p w:rsidR="00F2149E" w:rsidRPr="00E22989" w:rsidRDefault="00451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sz w:val="24"/>
          <w:szCs w:val="24"/>
        </w:rPr>
      </w:pPr>
      <w:r w:rsidRPr="00E22989">
        <w:rPr>
          <w:sz w:val="24"/>
          <w:szCs w:val="24"/>
        </w:rPr>
        <w:t xml:space="preserve">Reflexionar acerca de la participación de la propia práctica (interpretaciones e intervenciones) en tales procesos, en tanto parte del campo de </w:t>
      </w:r>
      <w:r w:rsidR="00612558" w:rsidRPr="00E22989">
        <w:rPr>
          <w:i/>
          <w:sz w:val="24"/>
          <w:szCs w:val="24"/>
        </w:rPr>
        <w:t>expertise</w:t>
      </w:r>
      <w:r w:rsidRPr="00E22989">
        <w:rPr>
          <w:sz w:val="24"/>
          <w:szCs w:val="24"/>
        </w:rPr>
        <w:t xml:space="preserve"> en políticas sociales.</w:t>
      </w:r>
    </w:p>
    <w:p w:rsidR="00F2149E" w:rsidRPr="00E22989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Pr="00E22989" w:rsidRDefault="001A5117">
      <w:pPr>
        <w:spacing w:line="240" w:lineRule="auto"/>
        <w:jc w:val="both"/>
        <w:rPr>
          <w:b/>
          <w:sz w:val="28"/>
          <w:szCs w:val="28"/>
        </w:rPr>
      </w:pPr>
      <w:r w:rsidRPr="00E22989">
        <w:rPr>
          <w:b/>
          <w:sz w:val="28"/>
          <w:szCs w:val="28"/>
        </w:rPr>
        <w:t>Unidades</w:t>
      </w:r>
      <w:r w:rsidR="00F65CC0" w:rsidRPr="00E22989">
        <w:rPr>
          <w:b/>
          <w:sz w:val="28"/>
          <w:szCs w:val="28"/>
        </w:rPr>
        <w:t xml:space="preserve"> / Sesiones</w:t>
      </w: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  <w:r w:rsidRPr="00E22989">
        <w:rPr>
          <w:rFonts w:ascii="Cambria" w:eastAsia="Batang" w:hAnsi="Cambria"/>
          <w:b/>
          <w:bCs/>
          <w:sz w:val="24"/>
          <w:szCs w:val="24"/>
          <w:u w:val="single"/>
        </w:rPr>
        <w:t>1ra. Sesión</w:t>
      </w:r>
      <w:r w:rsidRPr="00E22989">
        <w:rPr>
          <w:rFonts w:ascii="Cambria" w:eastAsia="Batang" w:hAnsi="Cambria"/>
          <w:b/>
          <w:bCs/>
          <w:sz w:val="24"/>
          <w:szCs w:val="24"/>
        </w:rPr>
        <w:t xml:space="preserve">: La perspectiva del análisis político-cultural </w:t>
      </w: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  <w:r w:rsidRPr="00E22989">
        <w:rPr>
          <w:rFonts w:ascii="Cambria" w:eastAsia="Batang" w:hAnsi="Cambria"/>
          <w:b/>
          <w:bCs/>
          <w:sz w:val="24"/>
          <w:szCs w:val="24"/>
        </w:rPr>
        <w:t xml:space="preserve">a) Presentación de la materia y organización del curso. </w:t>
      </w:r>
    </w:p>
    <w:p w:rsidR="00451120" w:rsidRPr="00E22989" w:rsidRDefault="00451120" w:rsidP="00451120">
      <w:pPr>
        <w:jc w:val="both"/>
        <w:rPr>
          <w:rFonts w:ascii="Cambria" w:hAnsi="Cambria" w:cs="Lucida Sans Unicode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hAnsi="Cambria" w:cs="Lucida Sans Unicode"/>
          <w:sz w:val="24"/>
          <w:szCs w:val="24"/>
        </w:rPr>
      </w:pPr>
      <w:r w:rsidRPr="00E22989">
        <w:rPr>
          <w:rFonts w:ascii="Cambria" w:hAnsi="Cambria" w:cs="Lucida Sans Unicode"/>
          <w:sz w:val="24"/>
          <w:szCs w:val="24"/>
        </w:rPr>
        <w:t xml:space="preserve">Shore, Cris: La antropología y el estudio de la política pública: reflexiones sobre la "formulación" de las políticas. En: </w:t>
      </w:r>
      <w:r w:rsidRPr="00E22989">
        <w:rPr>
          <w:rFonts w:ascii="Cambria" w:hAnsi="Cambria" w:cs="Lucida Sans Unicode"/>
          <w:i/>
          <w:sz w:val="24"/>
          <w:szCs w:val="24"/>
        </w:rPr>
        <w:t>Antípoda. Revista de Antropología y Arqueología</w:t>
      </w:r>
      <w:r w:rsidRPr="00E22989">
        <w:rPr>
          <w:rFonts w:ascii="Cambria" w:hAnsi="Cambria" w:cs="Lucida Sans Unicode"/>
          <w:sz w:val="24"/>
          <w:szCs w:val="24"/>
        </w:rPr>
        <w:t>, N° 10. Enero-junio, 2010, Universidad de Los Andes. Bogotá, Colombia</w:t>
      </w:r>
    </w:p>
    <w:p w:rsidR="00451120" w:rsidRPr="00E22989" w:rsidRDefault="00451120" w:rsidP="00451120">
      <w:pPr>
        <w:jc w:val="both"/>
        <w:rPr>
          <w:rFonts w:ascii="Cambria" w:hAnsi="Cambria" w:cs="Lucida Sans Unicode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hAnsi="Cambria" w:cs="Lucida Sans Unicode"/>
          <w:sz w:val="24"/>
          <w:szCs w:val="24"/>
        </w:rPr>
      </w:pPr>
      <w:r w:rsidRPr="00E22989">
        <w:rPr>
          <w:rFonts w:ascii="Cambria" w:hAnsi="Cambria" w:cs="Lucida Sans Unicode"/>
          <w:sz w:val="24"/>
          <w:szCs w:val="24"/>
        </w:rPr>
        <w:t xml:space="preserve">Trouillot, Michel-Rolph: La antropología del Estado en la era de la globalización. </w:t>
      </w:r>
    </w:p>
    <w:p w:rsidR="00451120" w:rsidRPr="00E22989" w:rsidRDefault="00451120" w:rsidP="00451120">
      <w:pPr>
        <w:jc w:val="both"/>
        <w:rPr>
          <w:rFonts w:ascii="Cambria" w:hAnsi="Cambria" w:cs="Lucida Sans Unicode"/>
          <w:sz w:val="24"/>
          <w:szCs w:val="24"/>
        </w:rPr>
      </w:pPr>
      <w:r w:rsidRPr="00E22989">
        <w:rPr>
          <w:rFonts w:ascii="Cambria" w:hAnsi="Cambria" w:cs="Lucida Sans Unicode"/>
          <w:sz w:val="24"/>
          <w:szCs w:val="24"/>
        </w:rPr>
        <w:t xml:space="preserve">Encuentros cercanos de tipo engañoso.  </w:t>
      </w:r>
      <w:r w:rsidRPr="00E22989">
        <w:rPr>
          <w:rFonts w:ascii="Cambria" w:hAnsi="Cambria" w:cs="Lucida Sans Unicode"/>
          <w:i/>
          <w:sz w:val="24"/>
          <w:szCs w:val="24"/>
        </w:rPr>
        <w:t>Current Anthropology</w:t>
      </w:r>
      <w:r w:rsidRPr="00E22989">
        <w:rPr>
          <w:rFonts w:ascii="Cambria" w:hAnsi="Cambria" w:cs="Lucida Sans Unicode"/>
          <w:sz w:val="24"/>
          <w:szCs w:val="24"/>
        </w:rPr>
        <w:t>, Vol.42, N°1, febrero 2001. Traducción: Alicia Comas, Cecilia Varela y Cecilia Diez .Revisión: María Rosa Neufeld (cátedra Antropología Sistemática I – Carrera de Antropología, FFyL-UBA)</w:t>
      </w:r>
    </w:p>
    <w:p w:rsidR="00451120" w:rsidRPr="00E22989" w:rsidRDefault="00451120" w:rsidP="00451120">
      <w:pPr>
        <w:jc w:val="both"/>
        <w:rPr>
          <w:rFonts w:ascii="Cambria" w:eastAsia="Batang" w:hAnsi="Cambria"/>
          <w:b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b/>
          <w:sz w:val="24"/>
          <w:szCs w:val="24"/>
        </w:rPr>
        <w:t xml:space="preserve">b) Procesos culturales. Los usos del concepto de cultura </w:t>
      </w:r>
      <w:r w:rsidRPr="00E22989">
        <w:rPr>
          <w:rFonts w:ascii="Cambria" w:eastAsia="Batang" w:hAnsi="Cambria"/>
          <w:sz w:val="24"/>
          <w:szCs w:val="24"/>
        </w:rPr>
        <w:t xml:space="preserve"> 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hAnsi="Cambria" w:cs="Lucida Sans Unicode"/>
          <w:sz w:val="24"/>
          <w:szCs w:val="24"/>
        </w:rPr>
      </w:pPr>
      <w:r w:rsidRPr="00E22989">
        <w:rPr>
          <w:rFonts w:ascii="Cambria" w:hAnsi="Cambria" w:cs="Lucida Sans Unicode"/>
          <w:sz w:val="24"/>
          <w:szCs w:val="24"/>
        </w:rPr>
        <w:t>Grimson, Alejandro</w:t>
      </w:r>
      <w:r w:rsidRPr="00E22989">
        <w:rPr>
          <w:rFonts w:ascii="Cambria" w:hAnsi="Cambria" w:cs="Estrangelo Edessa"/>
          <w:sz w:val="24"/>
          <w:szCs w:val="24"/>
          <w:lang w:val="es-ES_tradnl"/>
        </w:rPr>
        <w:t xml:space="preserve">: </w:t>
      </w:r>
      <w:r w:rsidRPr="00E22989">
        <w:rPr>
          <w:rFonts w:ascii="Cambria" w:hAnsi="Cambria" w:cs="Lucida Sans Unicode"/>
          <w:bCs/>
          <w:i/>
          <w:iCs/>
          <w:sz w:val="24"/>
          <w:szCs w:val="24"/>
        </w:rPr>
        <w:t>Los límites de la cultura. Críticas de las teorías de la identidad</w:t>
      </w:r>
      <w:r w:rsidRPr="00E22989">
        <w:rPr>
          <w:rFonts w:ascii="Cambria" w:hAnsi="Cambria" w:cs="Estrangelo Edessa"/>
          <w:b/>
          <w:i/>
          <w:sz w:val="24"/>
          <w:szCs w:val="24"/>
          <w:lang w:val="es-ES_tradnl"/>
        </w:rPr>
        <w:t xml:space="preserve">. </w:t>
      </w:r>
      <w:r w:rsidRPr="00E22989">
        <w:rPr>
          <w:rFonts w:ascii="Cambria" w:hAnsi="Cambria" w:cs="Lucida Sans Unicode"/>
          <w:sz w:val="24"/>
          <w:szCs w:val="24"/>
        </w:rPr>
        <w:t xml:space="preserve">Siglo XXI, Buenos Aires, 2011 (“La cultura es constitutiva”: págs. 39-43; “Configuración y hegemonía”: 44-51; “1. Dialéctica del culturalismo”: 53-89; 5. “Configuraciones culturales”: 171-194). </w:t>
      </w:r>
    </w:p>
    <w:p w:rsidR="00451120" w:rsidRPr="00E22989" w:rsidRDefault="00532210" w:rsidP="00451120">
      <w:pPr>
        <w:jc w:val="both"/>
        <w:rPr>
          <w:rFonts w:ascii="Cambria" w:hAnsi="Cambria" w:cs="Lucida Sans Unicode"/>
          <w:sz w:val="24"/>
          <w:szCs w:val="24"/>
        </w:rPr>
      </w:pPr>
      <w:hyperlink r:id="rId8" w:history="1">
        <w:r w:rsidR="00451120" w:rsidRPr="00E22989">
          <w:rPr>
            <w:rStyle w:val="Hyperlink"/>
            <w:rFonts w:ascii="Cambria" w:hAnsi="Cambria" w:cs="Lucida Sans Unicode"/>
            <w:color w:val="auto"/>
            <w:sz w:val="24"/>
            <w:szCs w:val="24"/>
          </w:rPr>
          <w:t>http://polsocytrabiigg.sociales.uba.ar/files/2014/03/Grimson-Los-Lmites-de-la-Cultura-alejandro-grimson-1.pdf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  <w:lang w:val="en-US"/>
        </w:rPr>
      </w:pPr>
      <w:r w:rsidRPr="00E22989">
        <w:rPr>
          <w:rFonts w:ascii="Cambria" w:eastAsia="Batang" w:hAnsi="Cambria"/>
          <w:sz w:val="24"/>
          <w:szCs w:val="24"/>
        </w:rPr>
        <w:t xml:space="preserve">Grassi, Estela: </w:t>
      </w:r>
      <w:r w:rsidRPr="00E22989">
        <w:rPr>
          <w:rFonts w:ascii="Cambria" w:eastAsia="Batang" w:hAnsi="Cambria"/>
          <w:i/>
          <w:iCs/>
          <w:sz w:val="24"/>
          <w:szCs w:val="24"/>
        </w:rPr>
        <w:t>Política y cultura en la sociedad neoliberal</w:t>
      </w:r>
      <w:r w:rsidRPr="00E22989">
        <w:rPr>
          <w:rFonts w:ascii="Cambria" w:eastAsia="Batang" w:hAnsi="Cambria"/>
          <w:sz w:val="24"/>
          <w:szCs w:val="24"/>
        </w:rPr>
        <w:t xml:space="preserve">. Espacio Editorial, Buenos Aires, 2004 – (Cap. </w:t>
      </w:r>
      <w:r w:rsidRPr="00E22989">
        <w:rPr>
          <w:rFonts w:ascii="Cambria" w:eastAsia="Batang" w:hAnsi="Cambria"/>
          <w:sz w:val="24"/>
          <w:szCs w:val="24"/>
          <w:lang w:val="en-US"/>
        </w:rPr>
        <w:t xml:space="preserve">I, págs. 22–28) 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  <w:lang w:val="en-US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Bauman, Zygmunt: </w:t>
      </w:r>
      <w:r w:rsidRPr="00E22989">
        <w:rPr>
          <w:rFonts w:ascii="Cambria" w:eastAsia="Batang" w:hAnsi="Cambria"/>
          <w:i/>
          <w:iCs/>
          <w:sz w:val="24"/>
          <w:szCs w:val="24"/>
        </w:rPr>
        <w:t>La cultura como praxis.</w:t>
      </w:r>
      <w:r w:rsidRPr="00E22989">
        <w:rPr>
          <w:rFonts w:ascii="Cambria" w:eastAsia="Batang" w:hAnsi="Cambria"/>
          <w:sz w:val="24"/>
          <w:szCs w:val="24"/>
        </w:rPr>
        <w:t xml:space="preserve"> Ed. Paidos, Buenos Aires, 2002. Introducción (Introducción: La cultura como conciencia de la sociedad moderna).</w:t>
      </w:r>
    </w:p>
    <w:p w:rsidR="00451120" w:rsidRPr="00E22989" w:rsidRDefault="00532210" w:rsidP="00451120">
      <w:pPr>
        <w:jc w:val="both"/>
        <w:rPr>
          <w:rFonts w:ascii="Cambria" w:eastAsia="Batang" w:hAnsi="Cambria"/>
          <w:sz w:val="24"/>
          <w:szCs w:val="24"/>
        </w:rPr>
      </w:pPr>
      <w:hyperlink r:id="rId9" w:history="1">
        <w:r w:rsidR="00451120" w:rsidRPr="00E22989">
          <w:rPr>
            <w:rStyle w:val="Hyperlink"/>
            <w:rFonts w:ascii="Cambria" w:eastAsia="Batang" w:hAnsi="Cambria"/>
            <w:color w:val="auto"/>
            <w:sz w:val="24"/>
            <w:szCs w:val="24"/>
          </w:rPr>
          <w:t>http://polsocytrabiigg.sociales.uba.ar/files/2014/03/Bauman-Zygmunt-La-Cultura-Como-Praxis.pdf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  <w:r w:rsidRPr="00E22989">
        <w:rPr>
          <w:rFonts w:ascii="Cambria" w:eastAsia="Batang" w:hAnsi="Cambria"/>
          <w:b/>
          <w:bCs/>
          <w:sz w:val="24"/>
          <w:szCs w:val="24"/>
          <w:u w:val="single"/>
        </w:rPr>
        <w:t>2ª sesión</w:t>
      </w:r>
      <w:r w:rsidRPr="00E22989">
        <w:rPr>
          <w:rFonts w:ascii="Cambria" w:eastAsia="Batang" w:hAnsi="Cambria"/>
          <w:b/>
          <w:bCs/>
          <w:sz w:val="24"/>
          <w:szCs w:val="24"/>
        </w:rPr>
        <w:t>: Procesos político-culturales y naturalización de  la vida social</w:t>
      </w:r>
      <w:r w:rsidR="00195D68" w:rsidRPr="00E22989">
        <w:rPr>
          <w:rFonts w:ascii="Cambria" w:eastAsia="Batang" w:hAnsi="Cambria"/>
          <w:b/>
          <w:bCs/>
          <w:sz w:val="24"/>
          <w:szCs w:val="24"/>
        </w:rPr>
        <w:t xml:space="preserve">. Instituciones modernas, civilización y culturas  </w:t>
      </w:r>
    </w:p>
    <w:p w:rsidR="00451120" w:rsidRPr="00E22989" w:rsidRDefault="00451120" w:rsidP="00451120">
      <w:pPr>
        <w:jc w:val="both"/>
        <w:rPr>
          <w:rFonts w:ascii="Cambria" w:eastAsia="Arial Unicode MS" w:hAnsi="Cambria" w:cs="Arial Unicode MS"/>
          <w:sz w:val="24"/>
          <w:szCs w:val="24"/>
        </w:rPr>
      </w:pPr>
      <w:r w:rsidRPr="00E22989">
        <w:rPr>
          <w:rFonts w:ascii="Cambria" w:eastAsia="Arial Unicode MS" w:hAnsi="Cambria" w:cs="Arial Unicode MS"/>
          <w:sz w:val="24"/>
          <w:szCs w:val="24"/>
        </w:rPr>
        <w:t xml:space="preserve">Eisenstadt, Shmuel N.: “La dimensión civilizadora de la modernidad. La modernidad como una forma concreta de civilización”. En: J. Beriain y M. Aguiluz (Eds.): </w:t>
      </w:r>
      <w:r w:rsidRPr="00E22989">
        <w:rPr>
          <w:rFonts w:ascii="Cambria" w:eastAsia="Arial Unicode MS" w:hAnsi="Cambria" w:cs="Arial Unicode MS"/>
          <w:i/>
          <w:sz w:val="24"/>
          <w:szCs w:val="24"/>
        </w:rPr>
        <w:t>Las contradicciones culturales de la modernidad</w:t>
      </w:r>
      <w:r w:rsidRPr="00E22989">
        <w:rPr>
          <w:rFonts w:ascii="Cambria" w:eastAsia="Arial Unicode MS" w:hAnsi="Cambria" w:cs="Arial Unicode MS"/>
          <w:sz w:val="24"/>
          <w:szCs w:val="24"/>
        </w:rPr>
        <w:t xml:space="preserve">. Anthropos, Barcelona, 2007. </w:t>
      </w:r>
    </w:p>
    <w:p w:rsidR="00451120" w:rsidRPr="00E22989" w:rsidRDefault="00532210" w:rsidP="00451120">
      <w:pPr>
        <w:jc w:val="both"/>
      </w:pPr>
      <w:hyperlink r:id="rId10" w:history="1">
        <w:r w:rsidR="00451120" w:rsidRPr="00E22989">
          <w:rPr>
            <w:rStyle w:val="Hyperlink"/>
            <w:rFonts w:ascii="Cambria" w:eastAsia="Arial Unicode MS" w:hAnsi="Cambria" w:cs="Arial Unicode MS"/>
            <w:color w:val="auto"/>
            <w:sz w:val="24"/>
            <w:szCs w:val="24"/>
          </w:rPr>
          <w:t>http://polsocytrabiigg.sociales.uba.ar/files/2014/03/Eisenstadt-La-dimensin-civilizadra-de-la-Modernidad-.-Shmuel-N.-Eisenstadt.pdf</w:t>
        </w:r>
      </w:hyperlink>
    </w:p>
    <w:p w:rsidR="00451120" w:rsidRPr="00E22989" w:rsidRDefault="00451120" w:rsidP="00451120">
      <w:pPr>
        <w:jc w:val="both"/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Somers, Margarets: “Narrando y naturalizando la sociedad civil y la teoría de la ciudadanía: el lugar de la cultura política y de la esfera pública”. En: Revista </w:t>
      </w:r>
      <w:r w:rsidRPr="00E22989">
        <w:rPr>
          <w:rFonts w:ascii="Cambria" w:eastAsia="Batang" w:hAnsi="Cambria"/>
          <w:i/>
          <w:sz w:val="24"/>
          <w:szCs w:val="24"/>
        </w:rPr>
        <w:t>Zona Abierta</w:t>
      </w:r>
      <w:r w:rsidRPr="00E22989">
        <w:rPr>
          <w:rFonts w:ascii="Cambria" w:eastAsia="Batang" w:hAnsi="Cambria"/>
          <w:sz w:val="24"/>
          <w:szCs w:val="24"/>
        </w:rPr>
        <w:t xml:space="preserve"> Nº 77/78, Madrid, 1996/97. Disponible en: </w:t>
      </w:r>
    </w:p>
    <w:p w:rsidR="00451120" w:rsidRPr="00E22989" w:rsidRDefault="00532210" w:rsidP="00451120">
      <w:pPr>
        <w:jc w:val="both"/>
      </w:pPr>
      <w:hyperlink r:id="rId11" w:history="1">
        <w:r w:rsidR="00451120" w:rsidRPr="00E22989">
          <w:rPr>
            <w:rStyle w:val="Hyperlink"/>
            <w:rFonts w:ascii="Cambria" w:eastAsia="Batang" w:hAnsi="Cambria"/>
            <w:color w:val="auto"/>
            <w:sz w:val="24"/>
            <w:szCs w:val="24"/>
          </w:rPr>
          <w:t>http://polsocytrabiigg.sociales.uba.ar/files/2014/03/Somers-M-Narrando-y-naturalizando.pdf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Grassi, Estela: </w:t>
      </w:r>
      <w:r w:rsidRPr="00E22989">
        <w:rPr>
          <w:rFonts w:ascii="Cambria" w:eastAsia="Batang" w:hAnsi="Cambria"/>
          <w:i/>
          <w:sz w:val="24"/>
          <w:szCs w:val="24"/>
        </w:rPr>
        <w:t>Política y cultura en la sociedad neoliberal</w:t>
      </w:r>
      <w:r w:rsidRPr="00E22989">
        <w:rPr>
          <w:rFonts w:ascii="Cambria" w:eastAsia="Batang" w:hAnsi="Cambria"/>
          <w:sz w:val="24"/>
          <w:szCs w:val="24"/>
        </w:rPr>
        <w:t xml:space="preserve">. </w:t>
      </w:r>
      <w:r w:rsidRPr="00E22989">
        <w:rPr>
          <w:rFonts w:ascii="Cambria" w:eastAsia="Batang" w:hAnsi="Cambria"/>
          <w:i/>
          <w:sz w:val="24"/>
          <w:szCs w:val="24"/>
        </w:rPr>
        <w:t>La otra década infame II.</w:t>
      </w:r>
      <w:r w:rsidRPr="00E22989">
        <w:rPr>
          <w:rFonts w:ascii="Cambria" w:eastAsia="Batang" w:hAnsi="Cambria"/>
          <w:sz w:val="24"/>
          <w:szCs w:val="24"/>
        </w:rPr>
        <w:t xml:space="preserve"> Espacio Editorial, Buenos Aires, 2004 – (Cap. I)</w:t>
      </w: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hAnsi="Cambria" w:cs="Lucida Sans Unicode"/>
          <w:sz w:val="24"/>
          <w:szCs w:val="24"/>
        </w:rPr>
      </w:pPr>
      <w:r w:rsidRPr="00E22989">
        <w:rPr>
          <w:rFonts w:ascii="Cambria" w:hAnsi="Cambria" w:cs="Lucida Sans Unicode"/>
          <w:sz w:val="24"/>
          <w:szCs w:val="24"/>
        </w:rPr>
        <w:t xml:space="preserve">Wright, Susan: “La politización de la ‘cultura’”. </w:t>
      </w:r>
      <w:r w:rsidRPr="00E22989">
        <w:rPr>
          <w:rFonts w:ascii="Cambria" w:hAnsi="Cambria" w:cs="Lucida Sans Unicode"/>
          <w:bCs/>
          <w:i/>
          <w:iCs/>
          <w:sz w:val="24"/>
          <w:szCs w:val="24"/>
        </w:rPr>
        <w:t>Anthropology Today</w:t>
      </w:r>
      <w:r w:rsidRPr="00E22989">
        <w:rPr>
          <w:rFonts w:ascii="Cambria" w:hAnsi="Cambria" w:cs="Lucida Sans Unicode"/>
          <w:sz w:val="24"/>
          <w:szCs w:val="24"/>
        </w:rPr>
        <w:t xml:space="preserve"> Vol. 14 No 1, Febrero de 1998 (Traducción de Florencia Enghel y revisión Técnica de Mauricio F. Boivin y Julieta Gaztañaga).  Disponible en:</w:t>
      </w:r>
    </w:p>
    <w:p w:rsidR="00451120" w:rsidRPr="00E22989" w:rsidRDefault="00532210" w:rsidP="00451120">
      <w:pPr>
        <w:jc w:val="both"/>
        <w:rPr>
          <w:rFonts w:ascii="Cambria" w:hAnsi="Cambria" w:cs="Lucida Sans Unicode"/>
          <w:sz w:val="24"/>
          <w:szCs w:val="24"/>
        </w:rPr>
      </w:pPr>
      <w:hyperlink r:id="rId12" w:history="1">
        <w:r w:rsidR="00451120" w:rsidRPr="00E22989">
          <w:rPr>
            <w:rStyle w:val="Hyperlink"/>
            <w:rFonts w:ascii="Cambria" w:hAnsi="Cambria" w:cs="Lucida Sans Unicode"/>
            <w:color w:val="auto"/>
            <w:sz w:val="24"/>
            <w:szCs w:val="24"/>
          </w:rPr>
          <w:t>http://polsocytrabiigg.sociales.uba.ar/files/2014/03/SUSAN_WRIGHT.pdf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Lechner, Norbert: "Especificando la política". En: Juan Enrique Vega (comp.): </w:t>
      </w:r>
      <w:r w:rsidRPr="00E22989">
        <w:rPr>
          <w:rFonts w:ascii="Cambria" w:eastAsia="Batang" w:hAnsi="Cambria"/>
          <w:i/>
          <w:sz w:val="24"/>
          <w:szCs w:val="24"/>
        </w:rPr>
        <w:t>Teoría y política de América Latina.</w:t>
      </w:r>
      <w:r w:rsidRPr="00E22989">
        <w:rPr>
          <w:rFonts w:ascii="Cambria" w:eastAsia="Batang" w:hAnsi="Cambria"/>
          <w:sz w:val="24"/>
          <w:szCs w:val="24"/>
        </w:rPr>
        <w:t xml:space="preserve"> Libros del CIDE, México,  1984. </w:t>
      </w:r>
      <w:hyperlink r:id="rId13" w:history="1">
        <w:r w:rsidRPr="00E22989">
          <w:rPr>
            <w:rStyle w:val="Hyperlink"/>
            <w:rFonts w:ascii="Cambria" w:eastAsia="Batang" w:hAnsi="Cambria"/>
            <w:color w:val="auto"/>
            <w:sz w:val="24"/>
            <w:szCs w:val="24"/>
          </w:rPr>
          <w:t>http://polsocytrabiigg.sociales.uba.ar/files/2014/03/especificando_la_politica-.pdf</w:t>
        </w:r>
      </w:hyperlink>
      <w:r w:rsidRPr="00E22989">
        <w:rPr>
          <w:rFonts w:ascii="Cambria" w:eastAsia="Batang" w:hAnsi="Cambria"/>
          <w:sz w:val="24"/>
          <w:szCs w:val="24"/>
        </w:rPr>
        <w:t xml:space="preserve"> 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>Bourdieu, Pierre: “Espacio social y poder simbólico”. En:</w:t>
      </w:r>
      <w:r w:rsidRPr="00E22989">
        <w:rPr>
          <w:rFonts w:ascii="Cambria" w:eastAsia="Batang" w:hAnsi="Cambria"/>
          <w:i/>
          <w:iCs/>
          <w:sz w:val="24"/>
          <w:szCs w:val="24"/>
        </w:rPr>
        <w:t xml:space="preserve"> Cosas dichas</w:t>
      </w:r>
      <w:r w:rsidRPr="00E22989">
        <w:rPr>
          <w:rFonts w:ascii="Cambria" w:eastAsia="Batang" w:hAnsi="Cambria"/>
          <w:sz w:val="24"/>
          <w:szCs w:val="24"/>
        </w:rPr>
        <w:t xml:space="preserve">. Gedisa editorial, Buenos Aires, 1988 </w:t>
      </w:r>
    </w:p>
    <w:p w:rsidR="00451120" w:rsidRPr="00E22989" w:rsidRDefault="00532210" w:rsidP="00451120">
      <w:pPr>
        <w:jc w:val="both"/>
        <w:rPr>
          <w:rFonts w:ascii="Cambria" w:eastAsia="Batang" w:hAnsi="Cambria"/>
          <w:b/>
          <w:sz w:val="24"/>
          <w:szCs w:val="24"/>
        </w:rPr>
      </w:pPr>
      <w:hyperlink r:id="rId14" w:history="1">
        <w:r w:rsidR="00451120" w:rsidRPr="00E22989">
          <w:rPr>
            <w:rStyle w:val="Hyperlink"/>
            <w:rFonts w:ascii="Cambria" w:eastAsia="Batang" w:hAnsi="Cambria"/>
            <w:b/>
            <w:color w:val="auto"/>
            <w:sz w:val="24"/>
            <w:szCs w:val="24"/>
          </w:rPr>
          <w:t>https://docs.google.com/file/d/0B51zbOW06l7xZjhITG5GWUd0WWs/edit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b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sz w:val="24"/>
          <w:szCs w:val="24"/>
        </w:rPr>
      </w:pPr>
      <w:r w:rsidRPr="00E22989">
        <w:rPr>
          <w:rFonts w:ascii="Cambria" w:eastAsia="Batang" w:hAnsi="Cambria"/>
          <w:b/>
          <w:bCs/>
          <w:sz w:val="24"/>
          <w:szCs w:val="24"/>
          <w:u w:val="single"/>
        </w:rPr>
        <w:t>3ª sesión</w:t>
      </w:r>
      <w:r w:rsidR="00195D68" w:rsidRPr="00E22989">
        <w:rPr>
          <w:rFonts w:ascii="Cambria" w:eastAsia="Batang" w:hAnsi="Cambria"/>
          <w:b/>
          <w:bCs/>
          <w:sz w:val="24"/>
          <w:szCs w:val="24"/>
          <w:u w:val="single"/>
        </w:rPr>
        <w:t>:</w:t>
      </w:r>
      <w:r w:rsidRPr="00E22989">
        <w:rPr>
          <w:rFonts w:ascii="Cambria" w:eastAsia="Batang" w:hAnsi="Cambria"/>
          <w:b/>
          <w:bCs/>
          <w:sz w:val="24"/>
          <w:szCs w:val="24"/>
        </w:rPr>
        <w:t xml:space="preserve"> </w:t>
      </w:r>
      <w:r w:rsidRPr="00E22989">
        <w:rPr>
          <w:rFonts w:ascii="Cambria" w:eastAsia="Batang" w:hAnsi="Cambria"/>
          <w:b/>
          <w:sz w:val="24"/>
          <w:szCs w:val="24"/>
        </w:rPr>
        <w:t xml:space="preserve">Constitución cultural y política de la sociedad </w:t>
      </w:r>
    </w:p>
    <w:p w:rsidR="00451120" w:rsidRPr="00E22989" w:rsidRDefault="00451120" w:rsidP="00451120">
      <w:pPr>
        <w:ind w:left="720"/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Bourdieu, Pierre: “Espacio social y génesis de las clases”. En: </w:t>
      </w:r>
      <w:r w:rsidRPr="00E22989">
        <w:rPr>
          <w:rFonts w:ascii="Cambria" w:eastAsia="Batang" w:hAnsi="Cambria"/>
          <w:i/>
          <w:sz w:val="24"/>
          <w:szCs w:val="24"/>
        </w:rPr>
        <w:t>Sociología y cultura</w:t>
      </w:r>
      <w:r w:rsidRPr="00E22989">
        <w:rPr>
          <w:rFonts w:ascii="Cambria" w:eastAsia="Batang" w:hAnsi="Cambria"/>
          <w:sz w:val="24"/>
          <w:szCs w:val="24"/>
        </w:rPr>
        <w:t xml:space="preserve">. Grijalbo, 1990 (1984) </w:t>
      </w:r>
      <w:hyperlink r:id="rId15" w:history="1">
        <w:r w:rsidRPr="00E22989">
          <w:rPr>
            <w:rStyle w:val="Hyperlink"/>
            <w:rFonts w:ascii="Cambria" w:eastAsia="Batang" w:hAnsi="Cambria"/>
            <w:color w:val="auto"/>
            <w:sz w:val="24"/>
            <w:szCs w:val="24"/>
          </w:rPr>
          <w:t>http://www.culturascontemporaneas.com/contenidos/espacio_social_y_genesis.pdf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Lechner, Norbert: “Acerca del ordenamiento de la vida social por medio del Estado”, en: </w:t>
      </w:r>
      <w:r w:rsidRPr="00E22989">
        <w:rPr>
          <w:rFonts w:ascii="Cambria" w:hAnsi="Cambria" w:cs="Times New Roman"/>
          <w:iCs/>
          <w:sz w:val="24"/>
          <w:szCs w:val="24"/>
          <w:lang w:val="es-ES"/>
        </w:rPr>
        <w:t>Revista</w:t>
      </w:r>
      <w:r w:rsidRPr="00E22989">
        <w:rPr>
          <w:rFonts w:ascii="Cambria" w:hAnsi="Cambria" w:cs="Times New Roman"/>
          <w:i/>
          <w:iCs/>
          <w:sz w:val="24"/>
          <w:szCs w:val="24"/>
          <w:lang w:val="es-ES"/>
        </w:rPr>
        <w:t xml:space="preserve"> Mexicana de Sociología</w:t>
      </w:r>
      <w:r w:rsidRPr="00E22989">
        <w:rPr>
          <w:rFonts w:ascii="Cambria" w:hAnsi="Cambria" w:cs="Times New Roman"/>
          <w:sz w:val="24"/>
          <w:szCs w:val="24"/>
          <w:lang w:val="es-ES"/>
        </w:rPr>
        <w:t xml:space="preserve">, </w:t>
      </w:r>
      <w:r w:rsidRPr="00E22989">
        <w:rPr>
          <w:rFonts w:ascii="Cambria" w:eastAsia="Batang" w:hAnsi="Cambria"/>
          <w:sz w:val="24"/>
          <w:szCs w:val="24"/>
        </w:rPr>
        <w:t xml:space="preserve">Vol. 43, No. 3. (Jul. - Sep., 1981), pp. 1079-1102. Disponible en: </w:t>
      </w:r>
    </w:p>
    <w:p w:rsidR="00451120" w:rsidRPr="00E22989" w:rsidRDefault="00532210" w:rsidP="00451120">
      <w:pPr>
        <w:jc w:val="both"/>
        <w:rPr>
          <w:rFonts w:ascii="Cambria" w:eastAsia="Batang" w:hAnsi="Cambria"/>
          <w:sz w:val="24"/>
          <w:szCs w:val="24"/>
        </w:rPr>
      </w:pPr>
      <w:hyperlink r:id="rId16" w:history="1">
        <w:r w:rsidR="00451120" w:rsidRPr="00E22989">
          <w:rPr>
            <w:rStyle w:val="Hyperlink"/>
            <w:rFonts w:ascii="Cambria" w:eastAsia="Batang" w:hAnsi="Cambria"/>
            <w:color w:val="auto"/>
            <w:sz w:val="24"/>
            <w:szCs w:val="24"/>
          </w:rPr>
          <w:t>http://polsocytrabiigg.sociales.uba.ar/files/2014/03/Lechner-Acerca-del-ordenamiento-de-la-vida-social-por-el-Estado.pdf</w:t>
        </w:r>
      </w:hyperlink>
      <w:r w:rsidR="00451120" w:rsidRPr="00E22989">
        <w:rPr>
          <w:rFonts w:ascii="Cambria" w:eastAsia="Batang" w:hAnsi="Cambria"/>
          <w:sz w:val="24"/>
          <w:szCs w:val="24"/>
        </w:rPr>
        <w:t xml:space="preserve"> 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Nun, José: “Gramsci y el sentido común” (apartado 10: Teorías sociales, ideologías políticas y sentido común). En: </w:t>
      </w:r>
      <w:r w:rsidRPr="00E22989">
        <w:rPr>
          <w:rFonts w:ascii="Cambria" w:eastAsia="Batang" w:hAnsi="Cambria"/>
          <w:i/>
          <w:sz w:val="24"/>
          <w:szCs w:val="24"/>
        </w:rPr>
        <w:t>Cultura política y democratización</w:t>
      </w:r>
      <w:r w:rsidRPr="00E22989">
        <w:rPr>
          <w:rFonts w:ascii="Cambria" w:eastAsia="Batang" w:hAnsi="Cambria"/>
          <w:sz w:val="24"/>
          <w:szCs w:val="24"/>
        </w:rPr>
        <w:t>. FLACSO /  CLACSO / ICI, Buenos Aires, 1987 (226-234) Disponible en:</w:t>
      </w:r>
    </w:p>
    <w:p w:rsidR="00451120" w:rsidRPr="00E22989" w:rsidRDefault="00532210" w:rsidP="00451120">
      <w:pPr>
        <w:jc w:val="both"/>
        <w:rPr>
          <w:rFonts w:ascii="Cambria" w:eastAsia="Batang" w:hAnsi="Cambria"/>
          <w:sz w:val="24"/>
          <w:szCs w:val="24"/>
        </w:rPr>
      </w:pPr>
      <w:hyperlink r:id="rId17" w:history="1">
        <w:r w:rsidR="00451120" w:rsidRPr="00E22989">
          <w:rPr>
            <w:rStyle w:val="Hyperlink"/>
            <w:rFonts w:ascii="Cambria" w:eastAsia="Batang" w:hAnsi="Cambria"/>
            <w:color w:val="auto"/>
            <w:sz w:val="24"/>
            <w:szCs w:val="24"/>
          </w:rPr>
          <w:t>http://polsocytrabiigg.sociales.uba.ar/files/2014/03/Nun.pdf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Oszlak, Oscar: </w:t>
      </w:r>
      <w:r w:rsidRPr="00E22989">
        <w:rPr>
          <w:rFonts w:ascii="Cambria" w:eastAsia="Batang" w:hAnsi="Cambria"/>
          <w:i/>
          <w:sz w:val="24"/>
          <w:szCs w:val="24"/>
        </w:rPr>
        <w:t>La formación del Estado argentino. Orden, progreso y organización nacional.</w:t>
      </w:r>
      <w:r w:rsidRPr="00E22989">
        <w:rPr>
          <w:rFonts w:ascii="Cambria" w:eastAsia="Batang" w:hAnsi="Cambria"/>
          <w:sz w:val="24"/>
          <w:szCs w:val="24"/>
        </w:rPr>
        <w:t xml:space="preserve"> Planeta,  1997. (Capítulo 3: La conquista del orden y la institucionalización del Estado; y Ortodoxia liberal y dominación oligárquica; La gran expansión y la “cuestión social”).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Grassi, Estela: </w:t>
      </w:r>
      <w:r w:rsidRPr="00E22989">
        <w:rPr>
          <w:rFonts w:ascii="Cambria" w:eastAsia="Batang" w:hAnsi="Cambria"/>
          <w:i/>
          <w:sz w:val="24"/>
          <w:szCs w:val="24"/>
        </w:rPr>
        <w:t>Política y cultura en la sociedad neoliberal</w:t>
      </w:r>
      <w:r w:rsidRPr="00E22989">
        <w:rPr>
          <w:rFonts w:ascii="Cambria" w:eastAsia="Batang" w:hAnsi="Cambria"/>
          <w:sz w:val="24"/>
          <w:szCs w:val="24"/>
        </w:rPr>
        <w:t xml:space="preserve">. </w:t>
      </w:r>
      <w:r w:rsidRPr="00E22989">
        <w:rPr>
          <w:rFonts w:ascii="Cambria" w:eastAsia="Batang" w:hAnsi="Cambria"/>
          <w:i/>
          <w:sz w:val="24"/>
          <w:szCs w:val="24"/>
        </w:rPr>
        <w:t>La otra década infame II.</w:t>
      </w:r>
      <w:r w:rsidRPr="00E22989">
        <w:rPr>
          <w:rFonts w:ascii="Cambria" w:eastAsia="Batang" w:hAnsi="Cambria"/>
          <w:sz w:val="24"/>
          <w:szCs w:val="24"/>
        </w:rPr>
        <w:t xml:space="preserve">  Espacio Editorial, Buenos Aires, 2004 – (Cap. III y Epílogo)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sz w:val="24"/>
          <w:szCs w:val="24"/>
        </w:rPr>
      </w:pPr>
      <w:r w:rsidRPr="00E22989">
        <w:rPr>
          <w:rFonts w:ascii="Cambria" w:eastAsia="Batang" w:hAnsi="Cambria"/>
          <w:b/>
          <w:sz w:val="24"/>
          <w:szCs w:val="24"/>
          <w:u w:val="single"/>
        </w:rPr>
        <w:t>4ª sesión</w:t>
      </w:r>
      <w:r w:rsidRPr="00E22989">
        <w:rPr>
          <w:rFonts w:ascii="Cambria" w:eastAsia="Batang" w:hAnsi="Cambria"/>
          <w:b/>
          <w:sz w:val="24"/>
          <w:szCs w:val="24"/>
        </w:rPr>
        <w:t xml:space="preserve">: Problematización político-cultural y problemas sociales. </w:t>
      </w:r>
    </w:p>
    <w:p w:rsidR="00451120" w:rsidRPr="00E22989" w:rsidRDefault="00451120" w:rsidP="00451120">
      <w:pPr>
        <w:tabs>
          <w:tab w:val="left" w:pos="2985"/>
        </w:tabs>
        <w:jc w:val="both"/>
        <w:rPr>
          <w:rFonts w:ascii="Cambria" w:hAnsi="Cambria"/>
          <w:b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Grassi, Estela: </w:t>
      </w:r>
      <w:r w:rsidRPr="00E22989">
        <w:rPr>
          <w:rFonts w:ascii="Cambria" w:eastAsia="Batang" w:hAnsi="Cambria"/>
          <w:i/>
          <w:iCs/>
          <w:sz w:val="24"/>
          <w:szCs w:val="24"/>
        </w:rPr>
        <w:t>Política y problemas sociales en la sociedad neoliberal. La otra década infame I.</w:t>
      </w:r>
      <w:r w:rsidRPr="00E22989">
        <w:rPr>
          <w:rFonts w:ascii="Cambria" w:eastAsia="Batang" w:hAnsi="Cambria"/>
          <w:sz w:val="24"/>
          <w:szCs w:val="24"/>
        </w:rPr>
        <w:t xml:space="preserve"> Espacio Editorial, Buenos Aires, 2003.  Capítulo II: De la crisis a la globalización: problemas y prioridades. </w:t>
      </w:r>
    </w:p>
    <w:p w:rsidR="00451120" w:rsidRPr="00E22989" w:rsidRDefault="00451120" w:rsidP="00451120">
      <w:pPr>
        <w:tabs>
          <w:tab w:val="left" w:pos="2985"/>
        </w:tabs>
        <w:jc w:val="both"/>
        <w:rPr>
          <w:rFonts w:ascii="Cambria" w:hAnsi="Cambria"/>
          <w:b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Grassi, Estela: </w:t>
      </w:r>
      <w:r w:rsidRPr="00E22989">
        <w:rPr>
          <w:rFonts w:ascii="Cambria" w:eastAsia="Batang" w:hAnsi="Cambria"/>
          <w:i/>
          <w:sz w:val="24"/>
          <w:szCs w:val="24"/>
        </w:rPr>
        <w:t xml:space="preserve">Política y cultura en la sociedad neoliberal. </w:t>
      </w:r>
      <w:r w:rsidRPr="00E22989">
        <w:rPr>
          <w:rFonts w:ascii="Cambria" w:eastAsia="Batang" w:hAnsi="Cambria"/>
          <w:i/>
          <w:iCs/>
          <w:sz w:val="24"/>
          <w:szCs w:val="24"/>
        </w:rPr>
        <w:t>La otra década infame II</w:t>
      </w:r>
      <w:r w:rsidRPr="00E22989">
        <w:rPr>
          <w:rFonts w:ascii="Cambria" w:eastAsia="Batang" w:hAnsi="Cambria"/>
          <w:sz w:val="24"/>
          <w:szCs w:val="24"/>
        </w:rPr>
        <w:t>. Espacio Editorial, Buenos Aires, 2004 – (Cap. IV).</w:t>
      </w:r>
    </w:p>
    <w:p w:rsidR="00451120" w:rsidRPr="00E22989" w:rsidRDefault="00451120" w:rsidP="00451120">
      <w:pPr>
        <w:jc w:val="both"/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>Grassi, Estela: “Política y soportes socio-institucionales de la vida social”. En: E. Grassi y Susana Hintze:</w:t>
      </w:r>
      <w:r w:rsidRPr="00E22989">
        <w:t xml:space="preserve"> </w:t>
      </w:r>
      <w:r w:rsidRPr="00E22989">
        <w:rPr>
          <w:rFonts w:ascii="Cambria" w:eastAsia="Batang" w:hAnsi="Cambria"/>
          <w:i/>
          <w:sz w:val="24"/>
          <w:szCs w:val="24"/>
        </w:rPr>
        <w:t>Tramas de la desigualdad. Las políticas y el bienestar en disputa.</w:t>
      </w:r>
      <w:r w:rsidRPr="00E22989">
        <w:t xml:space="preserve"> </w:t>
      </w:r>
      <w:r w:rsidRPr="00E22989">
        <w:rPr>
          <w:rFonts w:ascii="Cambria" w:eastAsia="Batang" w:hAnsi="Cambria"/>
          <w:sz w:val="24"/>
          <w:szCs w:val="24"/>
        </w:rPr>
        <w:t>Prometeo, Buenos Aires, 2018.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Zimmermann, Eduardo: </w:t>
      </w:r>
      <w:r w:rsidRPr="00E22989">
        <w:rPr>
          <w:rFonts w:ascii="Cambria" w:eastAsia="Batang" w:hAnsi="Cambria"/>
          <w:i/>
          <w:sz w:val="24"/>
          <w:szCs w:val="24"/>
        </w:rPr>
        <w:t xml:space="preserve">Los liberales reformistas. La cuestión social en la Argentina 1890-1916. </w:t>
      </w:r>
      <w:r w:rsidRPr="00E22989">
        <w:rPr>
          <w:rFonts w:ascii="Cambria" w:eastAsia="Batang" w:hAnsi="Cambria"/>
          <w:sz w:val="24"/>
          <w:szCs w:val="24"/>
        </w:rPr>
        <w:t xml:space="preserve"> Ed. Suda+mericana/Universidad de San Andrés. 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Grondona, Ana Lucía: </w:t>
      </w:r>
      <w:r w:rsidRPr="00E22989">
        <w:rPr>
          <w:rFonts w:ascii="Cambria" w:eastAsia="Batang" w:hAnsi="Cambria"/>
          <w:i/>
          <w:sz w:val="24"/>
          <w:szCs w:val="24"/>
        </w:rPr>
        <w:t xml:space="preserve">Saber de la pobreza. Discursos expertos y subclases en la Argentina entre 1956 y 2006. </w:t>
      </w:r>
      <w:r w:rsidRPr="00E22989">
        <w:rPr>
          <w:rFonts w:ascii="Cambria" w:eastAsia="Batang" w:hAnsi="Cambria"/>
          <w:sz w:val="24"/>
          <w:szCs w:val="24"/>
        </w:rPr>
        <w:t>Ediciones del CCC, Buenos Aires, 2014 (Cap. V. El debate sobre la pobreza. La emergencia de un problema)</w:t>
      </w:r>
    </w:p>
    <w:p w:rsidR="00451120" w:rsidRPr="00E22989" w:rsidRDefault="00451120" w:rsidP="00451120">
      <w:pPr>
        <w:rPr>
          <w:rFonts w:ascii="Lucida Bright" w:hAnsi="Lucida Bright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Aguilar, Paula (2014): </w:t>
      </w:r>
      <w:r w:rsidRPr="00E22989">
        <w:rPr>
          <w:rFonts w:ascii="Cambria" w:eastAsia="Batang" w:hAnsi="Cambria"/>
          <w:i/>
          <w:sz w:val="24"/>
          <w:szCs w:val="24"/>
        </w:rPr>
        <w:t>El hogar como problema y como solución. Una mirada genealógica de la domesticidad a través de las políticas sociales (Argentina 1890-1940)</w:t>
      </w:r>
      <w:r w:rsidRPr="00E22989">
        <w:rPr>
          <w:rFonts w:ascii="Cambria" w:eastAsia="Batang" w:hAnsi="Cambria"/>
          <w:sz w:val="24"/>
          <w:szCs w:val="24"/>
        </w:rPr>
        <w:t>. Ediciones del CCC, Buenos Aires. Capítulos 1 (El objeto como horizonte) y 4 (El hogar como quehacer)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  <w:r w:rsidRPr="00E22989">
        <w:rPr>
          <w:rFonts w:ascii="Cambria" w:eastAsia="Batang" w:hAnsi="Cambria"/>
          <w:b/>
          <w:bCs/>
          <w:sz w:val="24"/>
          <w:szCs w:val="24"/>
          <w:u w:val="single"/>
        </w:rPr>
        <w:t>5ª Sesión</w:t>
      </w:r>
      <w:r w:rsidRPr="00E22989">
        <w:rPr>
          <w:rFonts w:ascii="Cambria" w:eastAsia="Batang" w:hAnsi="Cambria"/>
          <w:b/>
          <w:bCs/>
          <w:sz w:val="24"/>
          <w:szCs w:val="24"/>
        </w:rPr>
        <w:t xml:space="preserve">: Problemas sociales y necesidades sociales. Reproducción social y políticas sociales  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Topalov, Christian: “De la cuestión social a los problemas urbanos: los reformadores y la población de las metrópolis a principios del siglo XX”. En: C. Danani comp.: </w:t>
      </w:r>
      <w:r w:rsidRPr="00E22989">
        <w:rPr>
          <w:rFonts w:ascii="Cambria" w:eastAsia="Batang" w:hAnsi="Cambria"/>
          <w:i/>
          <w:iCs/>
          <w:sz w:val="24"/>
          <w:szCs w:val="24"/>
        </w:rPr>
        <w:t>Política social y economía del trabajo</w:t>
      </w:r>
      <w:r w:rsidRPr="00E22989">
        <w:rPr>
          <w:rFonts w:ascii="Cambria" w:eastAsia="Batang" w:hAnsi="Cambria"/>
          <w:sz w:val="24"/>
          <w:szCs w:val="24"/>
        </w:rPr>
        <w:t>. UNGS/OSDE/Altamira, Buenos Aires, 2004</w:t>
      </w:r>
    </w:p>
    <w:p w:rsidR="00451120" w:rsidRPr="00E22989" w:rsidRDefault="00532210" w:rsidP="00451120">
      <w:pPr>
        <w:jc w:val="both"/>
        <w:rPr>
          <w:rFonts w:ascii="Cambria" w:eastAsia="Batang" w:hAnsi="Cambria"/>
          <w:sz w:val="24"/>
          <w:szCs w:val="24"/>
        </w:rPr>
      </w:pPr>
      <w:hyperlink r:id="rId18" w:history="1">
        <w:r w:rsidR="00451120" w:rsidRPr="00E22989">
          <w:rPr>
            <w:rStyle w:val="Hyperlink"/>
            <w:rFonts w:ascii="Cambria" w:eastAsia="Batang" w:hAnsi="Cambria"/>
            <w:color w:val="auto"/>
            <w:sz w:val="24"/>
            <w:szCs w:val="24"/>
          </w:rPr>
          <w:t>http://polsocytrabiigg.sociales.uba.ar/files/2014/03/TOPALOV.pdf</w:t>
        </w:r>
      </w:hyperlink>
      <w:r w:rsidR="00451120" w:rsidRPr="00E22989">
        <w:rPr>
          <w:rFonts w:ascii="Cambria" w:eastAsia="Batang" w:hAnsi="Cambria"/>
          <w:sz w:val="24"/>
          <w:szCs w:val="24"/>
        </w:rPr>
        <w:t xml:space="preserve"> 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Grassi, Estela: “La política social, las necesidades sociales y el principio de igualdad: reflexiones para un debate “postneoliberal”. En: </w:t>
      </w:r>
      <w:r w:rsidRPr="00E22989">
        <w:rPr>
          <w:rFonts w:ascii="Cambria" w:eastAsia="Batang" w:hAnsi="Cambria"/>
          <w:i/>
          <w:sz w:val="24"/>
          <w:szCs w:val="24"/>
        </w:rPr>
        <w:t>Es posible pensar una nueva política social para América Latina.</w:t>
      </w:r>
      <w:r w:rsidRPr="00E22989">
        <w:rPr>
          <w:rFonts w:ascii="Cambria" w:eastAsia="Batang" w:hAnsi="Cambria"/>
          <w:sz w:val="24"/>
          <w:szCs w:val="24"/>
        </w:rPr>
        <w:t xml:space="preserve"> Flacso Ecuador / Ministerio de Cultural, Quito, 2008. (pags. 29-55). 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>Sennet, Richard.</w:t>
      </w:r>
      <w:r w:rsidRPr="00E22989">
        <w:rPr>
          <w:b/>
        </w:rPr>
        <w:t xml:space="preserve"> </w:t>
      </w:r>
      <w:r w:rsidRPr="00E22989">
        <w:rPr>
          <w:rFonts w:ascii="Cambria" w:eastAsia="Batang" w:hAnsi="Cambria"/>
          <w:i/>
          <w:sz w:val="24"/>
          <w:szCs w:val="24"/>
        </w:rPr>
        <w:t>El respeto. Sobre la dignidad del hombre en un mundo de desigualdad.</w:t>
      </w:r>
      <w:r w:rsidRPr="00E22989">
        <w:rPr>
          <w:i/>
        </w:rPr>
        <w:t xml:space="preserve"> </w:t>
      </w:r>
      <w:r w:rsidRPr="00E22989">
        <w:rPr>
          <w:rFonts w:ascii="Cambria" w:eastAsia="Batang" w:hAnsi="Cambria"/>
          <w:sz w:val="24"/>
          <w:szCs w:val="24"/>
        </w:rPr>
        <w:t>Anagrama, Barcelona, 2003.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Ayos, Emilio y Tatiana Jack: “La inseguridad desde abajo: postales sobre el “descontrol”. En: E. Grassi y Susana Hintze: </w:t>
      </w:r>
      <w:r w:rsidRPr="00E22989">
        <w:rPr>
          <w:rFonts w:ascii="Cambria" w:eastAsia="Batang" w:hAnsi="Cambria"/>
          <w:i/>
          <w:sz w:val="24"/>
          <w:szCs w:val="24"/>
        </w:rPr>
        <w:t>Tramas de la desigualdad. Las políticas y el bienestar en disputa.</w:t>
      </w:r>
      <w:r w:rsidRPr="00E22989">
        <w:t xml:space="preserve"> </w:t>
      </w:r>
      <w:r w:rsidRPr="00E22989">
        <w:rPr>
          <w:rFonts w:ascii="Cambria" w:eastAsia="Batang" w:hAnsi="Cambria"/>
          <w:sz w:val="24"/>
          <w:szCs w:val="24"/>
        </w:rPr>
        <w:t>Prometeo, Buenos Aires, 2018.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Sabarots, Horacio: “La inseguridad como problema público”. En: Liliana Raggio (comp.): </w:t>
      </w:r>
      <w:r w:rsidRPr="00E22989">
        <w:rPr>
          <w:rFonts w:ascii="Cambria" w:eastAsia="Batang" w:hAnsi="Cambria"/>
          <w:i/>
          <w:sz w:val="24"/>
          <w:szCs w:val="24"/>
        </w:rPr>
        <w:t>Antropología de las políticas sociales y culturales.</w:t>
      </w:r>
      <w:r w:rsidRPr="00E22989">
        <w:rPr>
          <w:rFonts w:ascii="Cambria" w:eastAsia="Batang" w:hAnsi="Cambria"/>
          <w:sz w:val="24"/>
          <w:szCs w:val="24"/>
        </w:rPr>
        <w:t xml:space="preserve"> FFyL-UBA, 2018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Salazar, Mayra: “Cuidar y castigar. La producción de la minoridad en instituciones tutelares desde la perspectiva de relatos de vida de jóvenes institucionalizados/as”. En: En: Liliana Raggio (comp.): </w:t>
      </w:r>
      <w:r w:rsidRPr="00E22989">
        <w:rPr>
          <w:rFonts w:ascii="Cambria" w:eastAsia="Batang" w:hAnsi="Cambria"/>
          <w:i/>
          <w:sz w:val="24"/>
          <w:szCs w:val="24"/>
        </w:rPr>
        <w:t>Antropología de las políticas sociales y culturales</w:t>
      </w:r>
      <w:r w:rsidRPr="00E22989">
        <w:rPr>
          <w:rFonts w:ascii="Cambria" w:eastAsia="Batang" w:hAnsi="Cambria"/>
          <w:sz w:val="24"/>
          <w:szCs w:val="24"/>
        </w:rPr>
        <w:t>. FFyL-UBA, 2018</w:t>
      </w: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  <w:r w:rsidRPr="00E22989">
        <w:rPr>
          <w:rFonts w:ascii="Cambria" w:eastAsia="Batang" w:hAnsi="Cambria"/>
          <w:b/>
          <w:bCs/>
          <w:sz w:val="24"/>
          <w:szCs w:val="24"/>
          <w:u w:val="single"/>
        </w:rPr>
        <w:t>6ª Sesión</w:t>
      </w:r>
      <w:r w:rsidRPr="00E22989">
        <w:rPr>
          <w:rFonts w:ascii="Cambria" w:eastAsia="Batang" w:hAnsi="Cambria"/>
          <w:b/>
          <w:bCs/>
          <w:sz w:val="24"/>
          <w:szCs w:val="24"/>
        </w:rPr>
        <w:t>: Trabajo y necesidades. La necesidad de trabajo.</w:t>
      </w: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  <w:r w:rsidRPr="00E22989">
        <w:rPr>
          <w:rFonts w:ascii="Cambria" w:eastAsia="Batang" w:hAnsi="Cambria"/>
          <w:bCs/>
          <w:sz w:val="24"/>
          <w:szCs w:val="24"/>
        </w:rPr>
        <w:t>Subirats, Joan: “¿Del poscapitalismo al postrabajo?”</w:t>
      </w:r>
      <w:r w:rsidRPr="00E22989">
        <w:rPr>
          <w:rFonts w:ascii="Cambria" w:eastAsia="Batang" w:hAnsi="Cambria"/>
          <w:sz w:val="24"/>
          <w:szCs w:val="24"/>
        </w:rPr>
        <w:t xml:space="preserve"> </w:t>
      </w:r>
      <w:r w:rsidRPr="00E22989">
        <w:rPr>
          <w:rFonts w:ascii="Cambria" w:eastAsia="Batang" w:hAnsi="Cambria"/>
          <w:i/>
          <w:sz w:val="24"/>
          <w:szCs w:val="24"/>
        </w:rPr>
        <w:t>Nueva Sociedad</w:t>
      </w:r>
      <w:r w:rsidRPr="00E22989">
        <w:rPr>
          <w:rFonts w:ascii="Cambria" w:eastAsia="Batang" w:hAnsi="Cambria"/>
          <w:sz w:val="24"/>
          <w:szCs w:val="24"/>
        </w:rPr>
        <w:t xml:space="preserve"> No 279, enero-febrero de 2019, </w:t>
      </w:r>
      <w:r w:rsidRPr="00E22989">
        <w:rPr>
          <w:rFonts w:ascii="Cambria" w:eastAsia="Batang" w:hAnsi="Cambria"/>
          <w:b/>
          <w:bCs/>
          <w:sz w:val="24"/>
          <w:szCs w:val="24"/>
        </w:rPr>
        <w:t xml:space="preserve"> </w:t>
      </w:r>
      <w:hyperlink r:id="rId19" w:history="1">
        <w:r w:rsidRPr="00E22989">
          <w:rPr>
            <w:rStyle w:val="Hyperlink"/>
            <w:rFonts w:ascii="Cambria" w:eastAsia="Batang" w:hAnsi="Cambria"/>
            <w:b/>
            <w:bCs/>
            <w:color w:val="auto"/>
            <w:sz w:val="24"/>
            <w:szCs w:val="24"/>
          </w:rPr>
          <w:t>http://nuso.org/articulo/del-poscapitalismo-al-postrabajo/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Cs/>
          <w:sz w:val="24"/>
          <w:szCs w:val="24"/>
        </w:rPr>
      </w:pPr>
      <w:r w:rsidRPr="00E22989">
        <w:rPr>
          <w:rFonts w:ascii="Cambria" w:eastAsia="Batang" w:hAnsi="Cambria"/>
          <w:bCs/>
          <w:sz w:val="24"/>
          <w:szCs w:val="24"/>
        </w:rPr>
        <w:t>Grassi, Estela: "Políticas sociales, necesidades y la cuestión del trabajo como capacidad creadora del sujeto humano".</w:t>
      </w:r>
      <w:r w:rsidRPr="00E22989">
        <w:rPr>
          <w:rFonts w:ascii="Georgia" w:eastAsia="Batang" w:hAnsi="Georgia" w:cs="Tahoma"/>
        </w:rPr>
        <w:t xml:space="preserve"> En: </w:t>
      </w:r>
      <w:r w:rsidRPr="00E22989">
        <w:rPr>
          <w:rFonts w:ascii="Cambria" w:eastAsia="Batang" w:hAnsi="Cambria"/>
          <w:i/>
          <w:sz w:val="24"/>
          <w:szCs w:val="24"/>
        </w:rPr>
        <w:t xml:space="preserve">Empleo y Globalización. La nueva cuestión social en la Argentina </w:t>
      </w:r>
      <w:r w:rsidRPr="00E22989">
        <w:rPr>
          <w:rFonts w:ascii="Georgia" w:eastAsia="Batang" w:hAnsi="Georgia" w:cs="Tahoma"/>
          <w:iCs/>
        </w:rPr>
        <w:t>(</w:t>
      </w:r>
      <w:r w:rsidRPr="00E22989">
        <w:rPr>
          <w:rFonts w:ascii="Cambria" w:eastAsia="Batang" w:hAnsi="Cambria"/>
          <w:bCs/>
          <w:sz w:val="24"/>
          <w:szCs w:val="24"/>
        </w:rPr>
        <w:t>Ernesto Villanueva, Coordinador): Universidad Nacional de Quilmes,  1997.</w:t>
      </w:r>
    </w:p>
    <w:p w:rsidR="00451120" w:rsidRPr="00E22989" w:rsidRDefault="00451120" w:rsidP="00451120">
      <w:pPr>
        <w:jc w:val="both"/>
        <w:rPr>
          <w:rFonts w:ascii="Cambria" w:eastAsia="Batang" w:hAnsi="Cambria"/>
          <w:bCs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Cs/>
          <w:sz w:val="24"/>
          <w:szCs w:val="24"/>
        </w:rPr>
      </w:pPr>
      <w:r w:rsidRPr="00E22989">
        <w:rPr>
          <w:rFonts w:ascii="Cambria" w:eastAsia="Batang" w:hAnsi="Cambria"/>
          <w:sz w:val="24"/>
          <w:szCs w:val="24"/>
        </w:rPr>
        <w:t xml:space="preserve">Grassi, Estela: </w:t>
      </w:r>
      <w:r w:rsidRPr="00E22989">
        <w:rPr>
          <w:rFonts w:ascii="Cambria" w:eastAsia="Batang" w:hAnsi="Cambria"/>
          <w:bCs/>
          <w:sz w:val="24"/>
          <w:szCs w:val="24"/>
        </w:rPr>
        <w:t xml:space="preserve">“La política social y el trabajo en la argentina contemporánea. Entre la novedad y la tradición” – </w:t>
      </w:r>
      <w:r w:rsidRPr="00E22989">
        <w:rPr>
          <w:rFonts w:ascii="Cambria" w:eastAsia="Batang" w:hAnsi="Cambria"/>
          <w:bCs/>
          <w:i/>
          <w:sz w:val="24"/>
          <w:szCs w:val="24"/>
        </w:rPr>
        <w:t>e@latina - Revista electrónica de estudios latinoamericanos</w:t>
      </w:r>
      <w:r w:rsidRPr="00E22989">
        <w:rPr>
          <w:rFonts w:ascii="Cambria" w:eastAsia="Batang" w:hAnsi="Cambria"/>
          <w:bCs/>
          <w:sz w:val="24"/>
          <w:szCs w:val="24"/>
        </w:rPr>
        <w:t xml:space="preserve">- Nº 39- Vol.10, abril-junio 2012. </w:t>
      </w:r>
    </w:p>
    <w:p w:rsidR="00451120" w:rsidRPr="00E22989" w:rsidRDefault="00532210" w:rsidP="00451120">
      <w:pPr>
        <w:jc w:val="both"/>
        <w:rPr>
          <w:rFonts w:ascii="Cambria" w:eastAsia="Batang" w:hAnsi="Cambria"/>
          <w:bCs/>
          <w:sz w:val="24"/>
          <w:szCs w:val="24"/>
        </w:rPr>
      </w:pPr>
      <w:hyperlink r:id="rId20" w:history="1">
        <w:r w:rsidR="00451120" w:rsidRPr="00E22989">
          <w:rPr>
            <w:rStyle w:val="Hyperlink"/>
            <w:rFonts w:ascii="Cambria" w:eastAsia="Batang" w:hAnsi="Cambria"/>
            <w:bCs/>
            <w:color w:val="auto"/>
            <w:sz w:val="24"/>
            <w:szCs w:val="24"/>
          </w:rPr>
          <w:t>https://drive.google.com/file/d/0B57GqdeKOqVnTmtSekJwaHFNS3M/view</w:t>
        </w:r>
      </w:hyperlink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</w:p>
    <w:p w:rsidR="00451120" w:rsidRPr="00E22989" w:rsidRDefault="00451120" w:rsidP="00451120">
      <w:pPr>
        <w:rPr>
          <w:rFonts w:ascii="Cambria" w:eastAsia="Batang" w:hAnsi="Cambria"/>
          <w:bCs/>
          <w:sz w:val="24"/>
          <w:szCs w:val="24"/>
        </w:rPr>
      </w:pPr>
      <w:r w:rsidRPr="00E22989">
        <w:rPr>
          <w:rFonts w:ascii="Cambria" w:eastAsia="Batang" w:hAnsi="Cambria"/>
          <w:bCs/>
          <w:sz w:val="24"/>
          <w:szCs w:val="24"/>
        </w:rPr>
        <w:t>Sennet, Richard:</w:t>
      </w:r>
      <w:r w:rsidRPr="00E22989">
        <w:rPr>
          <w:b/>
        </w:rPr>
        <w:t xml:space="preserve"> </w:t>
      </w:r>
      <w:r w:rsidRPr="00E22989">
        <w:rPr>
          <w:rFonts w:ascii="Cambria" w:eastAsia="Batang" w:hAnsi="Cambria"/>
          <w:i/>
          <w:sz w:val="24"/>
          <w:szCs w:val="24"/>
        </w:rPr>
        <w:t>La corrosión del carácter. Las consecuencias personales del trabajo en el nuevo capitalismo.</w:t>
      </w:r>
      <w:r w:rsidRPr="00E22989">
        <w:t xml:space="preserve"> </w:t>
      </w:r>
      <w:r w:rsidRPr="00E22989">
        <w:rPr>
          <w:rFonts w:ascii="Cambria" w:eastAsia="Batang" w:hAnsi="Cambria"/>
          <w:bCs/>
          <w:sz w:val="24"/>
          <w:szCs w:val="24"/>
        </w:rPr>
        <w:t>Anagrama, Barcelona, 2000.</w:t>
      </w:r>
    </w:p>
    <w:p w:rsidR="00451120" w:rsidRPr="00E22989" w:rsidRDefault="00451120" w:rsidP="00451120">
      <w:pPr>
        <w:rPr>
          <w:rFonts w:ascii="Cambria" w:eastAsia="Batang" w:hAnsi="Cambria"/>
          <w:bCs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  <w:r w:rsidRPr="00E22989">
        <w:rPr>
          <w:rFonts w:ascii="Cambria" w:eastAsia="Batang" w:hAnsi="Cambria"/>
          <w:b/>
          <w:bCs/>
          <w:sz w:val="24"/>
          <w:szCs w:val="24"/>
          <w:u w:val="single"/>
        </w:rPr>
        <w:t>7° Sesión 7/11</w:t>
      </w:r>
      <w:r w:rsidRPr="00E22989">
        <w:rPr>
          <w:rFonts w:ascii="Cambria" w:eastAsia="Batang" w:hAnsi="Cambria"/>
          <w:b/>
          <w:bCs/>
          <w:sz w:val="24"/>
          <w:szCs w:val="24"/>
        </w:rPr>
        <w:t>: Trabajo y sujet</w:t>
      </w:r>
      <w:r w:rsidR="00195D68" w:rsidRPr="00E22989">
        <w:rPr>
          <w:rFonts w:ascii="Cambria" w:eastAsia="Batang" w:hAnsi="Cambria"/>
          <w:b/>
          <w:bCs/>
          <w:sz w:val="24"/>
          <w:szCs w:val="24"/>
        </w:rPr>
        <w:t>a/</w:t>
      </w:r>
      <w:r w:rsidRPr="00E22989">
        <w:rPr>
          <w:rFonts w:ascii="Cambria" w:eastAsia="Batang" w:hAnsi="Cambria"/>
          <w:b/>
          <w:bCs/>
          <w:sz w:val="24"/>
          <w:szCs w:val="24"/>
        </w:rPr>
        <w:t>o del trabajo</w:t>
      </w:r>
    </w:p>
    <w:p w:rsidR="00451120" w:rsidRPr="00E22989" w:rsidRDefault="00451120" w:rsidP="00451120">
      <w:pPr>
        <w:jc w:val="both"/>
        <w:rPr>
          <w:rFonts w:ascii="Cambria" w:eastAsia="Batang" w:hAnsi="Cambria"/>
          <w:bCs/>
          <w:sz w:val="24"/>
          <w:szCs w:val="24"/>
        </w:rPr>
      </w:pPr>
      <w:r w:rsidRPr="00E22989">
        <w:rPr>
          <w:rFonts w:ascii="Cambria" w:eastAsia="Batang" w:hAnsi="Cambria"/>
          <w:bCs/>
          <w:sz w:val="24"/>
          <w:szCs w:val="24"/>
        </w:rPr>
        <w:t xml:space="preserve">Grassi, E. “Transformación del trabajo y la política social” </w:t>
      </w:r>
    </w:p>
    <w:p w:rsidR="00451120" w:rsidRPr="00E22989" w:rsidRDefault="00451120" w:rsidP="00451120">
      <w:pPr>
        <w:jc w:val="both"/>
        <w:rPr>
          <w:rFonts w:ascii="Cambria" w:eastAsia="Batang" w:hAnsi="Cambria"/>
          <w:bCs/>
          <w:sz w:val="24"/>
          <w:szCs w:val="24"/>
        </w:rPr>
      </w:pPr>
      <w:r w:rsidRPr="00E22989">
        <w:rPr>
          <w:rFonts w:ascii="Cambria" w:eastAsia="Batang" w:hAnsi="Cambria"/>
          <w:bCs/>
          <w:sz w:val="24"/>
          <w:szCs w:val="24"/>
        </w:rPr>
        <w:t>Hopp, Malena y Eliana Lijterman: “El trabajo y las políticas sociales en debate. La construcción del merecimiento en el nuevo contexto neoliberal en la Argentina”</w:t>
      </w:r>
    </w:p>
    <w:p w:rsidR="00451120" w:rsidRPr="00E22989" w:rsidRDefault="00451120" w:rsidP="00451120">
      <w:pPr>
        <w:jc w:val="both"/>
        <w:rPr>
          <w:rFonts w:ascii="Cambria" w:eastAsia="Batang" w:hAnsi="Cambria"/>
          <w:bCs/>
          <w:sz w:val="24"/>
          <w:szCs w:val="24"/>
        </w:rPr>
      </w:pPr>
      <w:r w:rsidRPr="00E22989">
        <w:rPr>
          <w:rFonts w:ascii="Cambria" w:eastAsia="Batang" w:hAnsi="Cambria"/>
          <w:bCs/>
          <w:sz w:val="24"/>
          <w:szCs w:val="24"/>
        </w:rPr>
        <w:t>Ambos capítulos en:</w:t>
      </w:r>
      <w:r w:rsidRPr="00E22989">
        <w:rPr>
          <w:rFonts w:ascii="Cambria" w:eastAsia="Batang" w:hAnsi="Cambria"/>
          <w:b/>
          <w:bCs/>
          <w:sz w:val="24"/>
          <w:szCs w:val="24"/>
        </w:rPr>
        <w:t xml:space="preserve"> </w:t>
      </w:r>
      <w:r w:rsidRPr="00E22989">
        <w:rPr>
          <w:rFonts w:ascii="Cambria" w:eastAsia="Batang" w:hAnsi="Cambria"/>
          <w:bCs/>
          <w:sz w:val="24"/>
          <w:szCs w:val="24"/>
        </w:rPr>
        <w:t xml:space="preserve">E. Grassi y Susana Hintze: </w:t>
      </w:r>
      <w:r w:rsidRPr="00E22989">
        <w:rPr>
          <w:rFonts w:ascii="Cambria" w:eastAsia="Batang" w:hAnsi="Cambria"/>
          <w:i/>
          <w:sz w:val="24"/>
          <w:szCs w:val="24"/>
        </w:rPr>
        <w:t xml:space="preserve">Tramas de la desigualdad. Las políticas y el bienestar en disputa. </w:t>
      </w:r>
      <w:r w:rsidRPr="00E22989">
        <w:rPr>
          <w:rFonts w:ascii="Cambria" w:eastAsia="Batang" w:hAnsi="Cambria"/>
          <w:bCs/>
          <w:sz w:val="24"/>
          <w:szCs w:val="24"/>
        </w:rPr>
        <w:t>Prometeo, Buenos Aires, 2018.</w:t>
      </w:r>
    </w:p>
    <w:p w:rsidR="00451120" w:rsidRPr="00E22989" w:rsidRDefault="00451120" w:rsidP="00451120">
      <w:pPr>
        <w:jc w:val="both"/>
        <w:rPr>
          <w:rFonts w:ascii="Cambria" w:eastAsia="Batang" w:hAnsi="Cambria"/>
          <w:b/>
          <w:bCs/>
          <w:sz w:val="24"/>
          <w:szCs w:val="24"/>
        </w:rPr>
      </w:pPr>
    </w:p>
    <w:p w:rsidR="00451120" w:rsidRPr="00E22989" w:rsidRDefault="00451120" w:rsidP="00451120">
      <w:pPr>
        <w:jc w:val="both"/>
        <w:rPr>
          <w:rFonts w:ascii="Cambria" w:eastAsia="Batang" w:hAnsi="Cambria"/>
          <w:sz w:val="24"/>
          <w:szCs w:val="24"/>
        </w:rPr>
      </w:pPr>
      <w:r w:rsidRPr="00E22989">
        <w:rPr>
          <w:rFonts w:ascii="Cambria" w:eastAsia="Batang" w:hAnsi="Cambria"/>
          <w:b/>
          <w:bCs/>
          <w:sz w:val="24"/>
          <w:szCs w:val="24"/>
          <w:u w:val="single"/>
        </w:rPr>
        <w:t>8° Sesión: 14/11</w:t>
      </w:r>
      <w:r w:rsidRPr="00E22989">
        <w:rPr>
          <w:rFonts w:ascii="Cambria" w:eastAsia="Batang" w:hAnsi="Cambria"/>
          <w:b/>
          <w:bCs/>
          <w:sz w:val="24"/>
          <w:szCs w:val="24"/>
        </w:rPr>
        <w:t xml:space="preserve">: Síntesis del curso </w:t>
      </w:r>
    </w:p>
    <w:p w:rsidR="00F2149E" w:rsidRPr="00E22989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Pr="00E22989" w:rsidRDefault="001A5117">
      <w:pPr>
        <w:spacing w:line="240" w:lineRule="auto"/>
        <w:jc w:val="both"/>
        <w:rPr>
          <w:b/>
          <w:sz w:val="28"/>
          <w:szCs w:val="28"/>
        </w:rPr>
      </w:pPr>
      <w:r w:rsidRPr="00E22989">
        <w:rPr>
          <w:b/>
          <w:sz w:val="28"/>
          <w:szCs w:val="28"/>
        </w:rPr>
        <w:t>Bibliografía</w:t>
      </w:r>
    </w:p>
    <w:p w:rsidR="00F2149E" w:rsidRPr="00E22989" w:rsidRDefault="001A5117">
      <w:pPr>
        <w:spacing w:line="240" w:lineRule="auto"/>
        <w:jc w:val="both"/>
        <w:rPr>
          <w:sz w:val="24"/>
          <w:szCs w:val="24"/>
        </w:rPr>
      </w:pPr>
      <w:r w:rsidRPr="00E22989">
        <w:rPr>
          <w:sz w:val="24"/>
          <w:szCs w:val="24"/>
        </w:rPr>
        <w:t xml:space="preserve">Bourdieu, Pierre; Chamboredon, Jean-Claude y Passeron, Jean-Claude (2002), El oficio del sociólogo. Presupuestos epistemológicos, Buenos Aires, Siglo XXI, Buenos Aires, primera parte: La ruptura. </w:t>
      </w:r>
    </w:p>
    <w:p w:rsidR="00F2149E" w:rsidRPr="00E22989" w:rsidRDefault="001A5117">
      <w:pPr>
        <w:spacing w:line="240" w:lineRule="auto"/>
        <w:jc w:val="both"/>
        <w:rPr>
          <w:b/>
          <w:sz w:val="24"/>
          <w:szCs w:val="24"/>
        </w:rPr>
      </w:pPr>
      <w:r w:rsidRPr="00E22989">
        <w:rPr>
          <w:sz w:val="24"/>
          <w:szCs w:val="24"/>
        </w:rPr>
        <w:t>Detiènne, Marcel (2001), Comparar lo incomparable, alegato en favor de una ciencia histórica comparada, Barcelona, Península, cap. 2 “Construir objetos comparables”, pp. 42-61</w:t>
      </w:r>
    </w:p>
    <w:p w:rsidR="00F2149E" w:rsidRPr="00E22989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Pr="00E22989" w:rsidRDefault="001A5117">
      <w:pPr>
        <w:spacing w:line="240" w:lineRule="auto"/>
        <w:jc w:val="both"/>
        <w:rPr>
          <w:b/>
          <w:sz w:val="28"/>
          <w:szCs w:val="28"/>
        </w:rPr>
      </w:pPr>
      <w:r w:rsidRPr="00E22989">
        <w:rPr>
          <w:b/>
          <w:sz w:val="28"/>
          <w:szCs w:val="28"/>
        </w:rPr>
        <w:t>Metodología de cursada y evaluación</w:t>
      </w:r>
    </w:p>
    <w:p w:rsidR="00195D68" w:rsidRPr="00E22989" w:rsidRDefault="00195D68" w:rsidP="00195D68">
      <w:pPr>
        <w:shd w:val="clear" w:color="auto" w:fill="FFFFFF"/>
        <w:jc w:val="both"/>
        <w:rPr>
          <w:rFonts w:ascii="Cambria" w:hAnsi="Cambria" w:cs="Tahoma"/>
          <w:sz w:val="24"/>
          <w:szCs w:val="24"/>
          <w:lang w:eastAsia="es-AR"/>
        </w:rPr>
      </w:pPr>
      <w:r w:rsidRPr="00E22989">
        <w:rPr>
          <w:rFonts w:ascii="Cambria" w:hAnsi="Cambria" w:cs="Tahoma"/>
          <w:sz w:val="24"/>
          <w:szCs w:val="24"/>
          <w:lang w:eastAsia="es-AR"/>
        </w:rPr>
        <w:t>La asignatura tendrá las siguientes instancias de evaluación:</w:t>
      </w:r>
    </w:p>
    <w:p w:rsidR="00195D68" w:rsidRPr="00E22989" w:rsidRDefault="00195D68" w:rsidP="00195D68">
      <w:pPr>
        <w:shd w:val="clear" w:color="auto" w:fill="FFFFFF"/>
        <w:jc w:val="both"/>
        <w:rPr>
          <w:rFonts w:ascii="Cambria" w:hAnsi="Cambria" w:cs="Tahoma"/>
          <w:sz w:val="24"/>
          <w:szCs w:val="24"/>
          <w:lang w:eastAsia="es-AR"/>
        </w:rPr>
      </w:pPr>
    </w:p>
    <w:p w:rsidR="00195D68" w:rsidRPr="00E22989" w:rsidRDefault="00195D68" w:rsidP="00195D68">
      <w:pPr>
        <w:shd w:val="clear" w:color="auto" w:fill="FFFFFF"/>
        <w:jc w:val="both"/>
        <w:rPr>
          <w:rFonts w:ascii="Cambria" w:hAnsi="Cambria" w:cs="Tahoma"/>
          <w:sz w:val="24"/>
          <w:szCs w:val="24"/>
          <w:lang w:eastAsia="es-AR"/>
        </w:rPr>
      </w:pPr>
      <w:r w:rsidRPr="00E22989">
        <w:rPr>
          <w:rFonts w:ascii="Cambria" w:hAnsi="Cambria" w:cs="Tahoma"/>
          <w:sz w:val="24"/>
          <w:szCs w:val="24"/>
          <w:u w:val="single"/>
          <w:lang w:eastAsia="es-AR"/>
        </w:rPr>
        <w:t>Primera evaluación</w:t>
      </w:r>
      <w:r w:rsidRPr="00E22989">
        <w:rPr>
          <w:rFonts w:ascii="Cambria" w:hAnsi="Cambria" w:cs="Tahoma"/>
          <w:sz w:val="24"/>
          <w:szCs w:val="24"/>
          <w:lang w:eastAsia="es-AR"/>
        </w:rPr>
        <w:t>: Entrega del plan propuesto para la monografía o trabajo final del curso, en la sesión 7. Estos serán devueltos y comentados en la última sesión. Tendrán evaluación de concepto y son obligatorios.</w:t>
      </w:r>
    </w:p>
    <w:p w:rsidR="00195D68" w:rsidRPr="00E22989" w:rsidRDefault="00195D68" w:rsidP="00195D68">
      <w:pPr>
        <w:shd w:val="clear" w:color="auto" w:fill="FFFFFF"/>
        <w:jc w:val="both"/>
        <w:rPr>
          <w:rFonts w:ascii="Cambria" w:hAnsi="Cambria" w:cs="Tahoma"/>
          <w:sz w:val="24"/>
          <w:szCs w:val="24"/>
          <w:lang w:eastAsia="es-AR"/>
        </w:rPr>
      </w:pPr>
    </w:p>
    <w:p w:rsidR="00195D68" w:rsidRPr="00E22989" w:rsidRDefault="00195D68" w:rsidP="00195D68">
      <w:pPr>
        <w:shd w:val="clear" w:color="auto" w:fill="FFFFFF"/>
        <w:jc w:val="both"/>
        <w:rPr>
          <w:rFonts w:ascii="Cambria" w:hAnsi="Cambria" w:cs="Tahoma"/>
          <w:sz w:val="24"/>
          <w:szCs w:val="24"/>
          <w:lang w:eastAsia="es-AR"/>
        </w:rPr>
      </w:pPr>
      <w:r w:rsidRPr="00E22989">
        <w:rPr>
          <w:rFonts w:ascii="Cambria" w:hAnsi="Cambria" w:cs="Tahoma"/>
          <w:sz w:val="24"/>
          <w:szCs w:val="24"/>
          <w:u w:val="single"/>
          <w:lang w:eastAsia="es-AR"/>
        </w:rPr>
        <w:t>Segunda evaluación</w:t>
      </w:r>
      <w:r w:rsidRPr="00E22989">
        <w:rPr>
          <w:rFonts w:ascii="Cambria" w:hAnsi="Cambria" w:cs="Tahoma"/>
          <w:sz w:val="24"/>
          <w:szCs w:val="24"/>
          <w:lang w:eastAsia="es-AR"/>
        </w:rPr>
        <w:t xml:space="preserve"> (final): Cada estudiante deberá desarrollar un trabajo monográfico o una síntesis global de la materia destacando, en este caso, los ejes y conceptos principales que considere aportes a su trabajo de tesis o a su formación. Esta NO deberá superar las 10 páginas (o 5000 palabras)</w:t>
      </w:r>
      <w:r w:rsidR="00050CB9" w:rsidRPr="00E22989">
        <w:rPr>
          <w:rFonts w:ascii="Cambria" w:hAnsi="Cambria" w:cs="Tahoma"/>
          <w:sz w:val="24"/>
          <w:szCs w:val="24"/>
          <w:lang w:eastAsia="es-AR"/>
        </w:rPr>
        <w:t>-</w:t>
      </w:r>
      <w:r w:rsidRPr="00E22989">
        <w:rPr>
          <w:rFonts w:ascii="Cambria" w:hAnsi="Cambria" w:cs="Tahoma"/>
          <w:sz w:val="24"/>
          <w:szCs w:val="24"/>
          <w:lang w:eastAsia="es-AR"/>
        </w:rPr>
        <w:t xml:space="preserve">.  </w:t>
      </w:r>
    </w:p>
    <w:p w:rsidR="00F2149E" w:rsidRPr="00E22989" w:rsidRDefault="00195D68" w:rsidP="00612558">
      <w:pPr>
        <w:shd w:val="clear" w:color="auto" w:fill="FFFFFF"/>
        <w:jc w:val="both"/>
        <w:rPr>
          <w:rFonts w:ascii="Cambria" w:hAnsi="Cambria" w:cs="Tahoma"/>
          <w:sz w:val="24"/>
          <w:szCs w:val="24"/>
          <w:lang w:eastAsia="es-AR"/>
        </w:rPr>
      </w:pPr>
      <w:r w:rsidRPr="00E22989">
        <w:rPr>
          <w:rFonts w:ascii="Cambria" w:hAnsi="Cambria" w:cs="Tahoma"/>
          <w:sz w:val="24"/>
          <w:szCs w:val="24"/>
          <w:lang w:eastAsia="es-AR"/>
        </w:rPr>
        <w:t>Se evalúa la COMPRENSIÓN de los temas y la claridad expositiva.</w:t>
      </w:r>
    </w:p>
    <w:sectPr w:rsidR="00F2149E" w:rsidRPr="00E22989" w:rsidSect="00693B0B">
      <w:type w:val="continuous"/>
      <w:pgSz w:w="11906" w:h="16838"/>
      <w:pgMar w:top="1985" w:right="1701" w:bottom="1417" w:left="1701" w:header="568" w:footer="708" w:gutter="0"/>
      <w:cols w:space="720" w:equalWidth="0">
        <w:col w:w="88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7E4" w:rsidRDefault="009C47E4">
      <w:pPr>
        <w:spacing w:after="0" w:line="240" w:lineRule="auto"/>
      </w:pPr>
      <w:r>
        <w:separator/>
      </w:r>
    </w:p>
  </w:endnote>
  <w:endnote w:type="continuationSeparator" w:id="1">
    <w:p w:rsidR="009C47E4" w:rsidRDefault="009C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7E4" w:rsidRDefault="009C47E4">
      <w:pPr>
        <w:spacing w:after="0" w:line="240" w:lineRule="auto"/>
      </w:pPr>
      <w:r>
        <w:separator/>
      </w:r>
    </w:p>
  </w:footnote>
  <w:footnote w:type="continuationSeparator" w:id="1">
    <w:p w:rsidR="009C47E4" w:rsidRDefault="009C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9E" w:rsidRDefault="001A5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-813434</wp:posOffset>
          </wp:positionH>
          <wp:positionV relativeFrom="paragraph">
            <wp:posOffset>77470</wp:posOffset>
          </wp:positionV>
          <wp:extent cx="7089140" cy="760266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49E" w:rsidRDefault="00F214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E044A"/>
    <w:multiLevelType w:val="multilevel"/>
    <w:tmpl w:val="580E9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149E"/>
    <w:rsid w:val="00050CB9"/>
    <w:rsid w:val="00090012"/>
    <w:rsid w:val="0011277F"/>
    <w:rsid w:val="001552A5"/>
    <w:rsid w:val="00161072"/>
    <w:rsid w:val="00195D68"/>
    <w:rsid w:val="001A5117"/>
    <w:rsid w:val="002A392B"/>
    <w:rsid w:val="002F00ED"/>
    <w:rsid w:val="00300069"/>
    <w:rsid w:val="00334F34"/>
    <w:rsid w:val="00392238"/>
    <w:rsid w:val="00451120"/>
    <w:rsid w:val="004A64CB"/>
    <w:rsid w:val="00532210"/>
    <w:rsid w:val="00612558"/>
    <w:rsid w:val="00693B0B"/>
    <w:rsid w:val="006A7DF4"/>
    <w:rsid w:val="008762DF"/>
    <w:rsid w:val="009A2FD5"/>
    <w:rsid w:val="009C47E4"/>
    <w:rsid w:val="009C511E"/>
    <w:rsid w:val="00B759EB"/>
    <w:rsid w:val="00C8266C"/>
    <w:rsid w:val="00CA1617"/>
    <w:rsid w:val="00CF6B16"/>
    <w:rsid w:val="00D5511F"/>
    <w:rsid w:val="00DA1242"/>
    <w:rsid w:val="00E22989"/>
    <w:rsid w:val="00F2149E"/>
    <w:rsid w:val="00F611C2"/>
    <w:rsid w:val="00F65CC0"/>
    <w:rsid w:val="00FD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3B0B"/>
  </w:style>
  <w:style w:type="paragraph" w:styleId="Heading1">
    <w:name w:val="heading 1"/>
    <w:basedOn w:val="Normal"/>
    <w:next w:val="Normal"/>
    <w:rsid w:val="00693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9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9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93B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93B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9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93B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93B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93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1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1C2"/>
  </w:style>
  <w:style w:type="paragraph" w:styleId="Footer">
    <w:name w:val="footer"/>
    <w:basedOn w:val="Normal"/>
    <w:link w:val="FooterChar"/>
    <w:uiPriority w:val="99"/>
    <w:unhideWhenUsed/>
    <w:rsid w:val="00F61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1C2"/>
  </w:style>
  <w:style w:type="character" w:styleId="Hyperlink">
    <w:name w:val="Hyperlink"/>
    <w:rsid w:val="004511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61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1C2"/>
  </w:style>
  <w:style w:type="paragraph" w:styleId="Piedepgina">
    <w:name w:val="footer"/>
    <w:basedOn w:val="Normal"/>
    <w:link w:val="PiedepginaCar"/>
    <w:uiPriority w:val="99"/>
    <w:unhideWhenUsed/>
    <w:rsid w:val="00F61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1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socytrabiigg.sociales.uba.ar/files/2014/03/Grimson-Los-Lmites-de-la-Cultura-alejandro-grimson-1.pdf" TargetMode="External"/><Relationship Id="rId13" Type="http://schemas.openxmlformats.org/officeDocument/2006/relationships/hyperlink" Target="http://polsocytrabiigg.sociales.uba.ar/files/2014/03/especificando_la_politica-.pdf" TargetMode="External"/><Relationship Id="rId18" Type="http://schemas.openxmlformats.org/officeDocument/2006/relationships/hyperlink" Target="http://polsocytrabiigg.sociales.uba.ar/files/2014/03/TOPALOV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polsocytrabiigg.sociales.uba.ar/files/2014/03/SUSAN_WRIGHT.pdf" TargetMode="External"/><Relationship Id="rId17" Type="http://schemas.openxmlformats.org/officeDocument/2006/relationships/hyperlink" Target="http://polsocytrabiigg.sociales.uba.ar/files/2014/03/Nu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socytrabiigg.sociales.uba.ar/files/2014/03/Lechner-Acerca-del-ordenamiento-de-la-vida-social-por-el-Estado.pdf" TargetMode="External"/><Relationship Id="rId20" Type="http://schemas.openxmlformats.org/officeDocument/2006/relationships/hyperlink" Target="https://drive.google.com/file/d/0B57GqdeKOqVnTmtSekJwaHFNS3M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socytrabiigg.sociales.uba.ar/files/2014/03/Somers-M-Narrando-y-naturalizand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ulturascontemporaneas.com/contenidos/espacio_social_y_genesis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olsocytrabiigg.sociales.uba.ar/files/2014/03/Eisenstadt-La-dimensin-civilizadra-de-la-Modernidad-.-Shmuel-N.-Eisenstadt.pdf" TargetMode="External"/><Relationship Id="rId19" Type="http://schemas.openxmlformats.org/officeDocument/2006/relationships/hyperlink" Target="http://nuso.org/articulo/del-poscapitalismo-al-postrabaj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socytrabiigg.sociales.uba.ar/files/2014/03/Bauman-Zygmunt-La-Cultura-Como-Praxis.pdf" TargetMode="External"/><Relationship Id="rId14" Type="http://schemas.openxmlformats.org/officeDocument/2006/relationships/hyperlink" Target="https://docs.google.com/file/d/0B51zbOW06l7xZjhITG5GWUd0WWs/ed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1941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Soler</dc:creator>
  <cp:lastModifiedBy>Rosana</cp:lastModifiedBy>
  <cp:revision>2</cp:revision>
  <dcterms:created xsi:type="dcterms:W3CDTF">2021-06-02T00:49:00Z</dcterms:created>
  <dcterms:modified xsi:type="dcterms:W3CDTF">2021-06-02T00:49:00Z</dcterms:modified>
</cp:coreProperties>
</file>