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C" w:rsidRDefault="006E117C">
      <w:pPr>
        <w:pStyle w:val="Normal1"/>
        <w:spacing w:after="0"/>
        <w:rPr>
          <w:rFonts w:ascii="Garamond" w:hAnsi="Garamond" w:cs="Garamond"/>
          <w:sz w:val="24"/>
          <w:szCs w:val="24"/>
        </w:rPr>
      </w:pPr>
      <w:r>
        <w:rPr>
          <w:rFonts w:ascii="Garamond" w:hAnsi="Garamond" w:cs="Garamond"/>
          <w:sz w:val="24"/>
          <w:szCs w:val="24"/>
        </w:rPr>
        <w:t>Universidad de Buenos Aires</w:t>
      </w:r>
    </w:p>
    <w:p w:rsidR="006E117C" w:rsidRDefault="006E117C">
      <w:pPr>
        <w:pStyle w:val="Normal1"/>
        <w:spacing w:after="0"/>
        <w:rPr>
          <w:rFonts w:ascii="Garamond" w:hAnsi="Garamond" w:cs="Garamond"/>
          <w:sz w:val="24"/>
          <w:szCs w:val="24"/>
        </w:rPr>
      </w:pPr>
      <w:r>
        <w:rPr>
          <w:rFonts w:ascii="Garamond" w:hAnsi="Garamond" w:cs="Garamond"/>
          <w:sz w:val="24"/>
          <w:szCs w:val="24"/>
        </w:rPr>
        <w:t>Facultad de Ciencias Sociales</w:t>
      </w:r>
    </w:p>
    <w:p w:rsidR="006E117C" w:rsidRDefault="006E117C">
      <w:pPr>
        <w:pStyle w:val="Normal1"/>
        <w:spacing w:after="0"/>
        <w:rPr>
          <w:rFonts w:ascii="Garamond" w:hAnsi="Garamond" w:cs="Garamond"/>
          <w:sz w:val="24"/>
          <w:szCs w:val="24"/>
        </w:rPr>
      </w:pPr>
      <w:r>
        <w:rPr>
          <w:rFonts w:ascii="Garamond" w:hAnsi="Garamond" w:cs="Garamond"/>
          <w:sz w:val="24"/>
          <w:szCs w:val="24"/>
        </w:rPr>
        <w:t>Maestría en Periodismo</w:t>
      </w:r>
    </w:p>
    <w:p w:rsidR="006E117C" w:rsidRDefault="006E117C">
      <w:pPr>
        <w:pStyle w:val="Normal1"/>
        <w:spacing w:after="0" w:line="360" w:lineRule="auto"/>
        <w:jc w:val="center"/>
        <w:rPr>
          <w:rFonts w:ascii="Garamond" w:hAnsi="Garamond" w:cs="Garamond"/>
          <w:sz w:val="24"/>
          <w:szCs w:val="24"/>
        </w:rPr>
      </w:pPr>
      <w:r>
        <w:rPr>
          <w:rFonts w:ascii="Garamond" w:hAnsi="Garamond" w:cs="Garamond"/>
          <w:sz w:val="24"/>
          <w:szCs w:val="24"/>
        </w:rPr>
        <w:t xml:space="preserve"> </w:t>
      </w:r>
    </w:p>
    <w:p w:rsidR="006E117C" w:rsidRDefault="006E117C">
      <w:pPr>
        <w:pStyle w:val="Normal1"/>
        <w:spacing w:after="0" w:line="360" w:lineRule="auto"/>
        <w:jc w:val="center"/>
        <w:rPr>
          <w:rFonts w:ascii="Garamond" w:hAnsi="Garamond" w:cs="Garamond"/>
          <w:sz w:val="26"/>
          <w:szCs w:val="26"/>
        </w:rPr>
      </w:pPr>
      <w:bookmarkStart w:id="0" w:name="_GoBack"/>
      <w:r>
        <w:rPr>
          <w:rFonts w:ascii="Garamond" w:hAnsi="Garamond" w:cs="Garamond"/>
          <w:sz w:val="26"/>
          <w:szCs w:val="26"/>
        </w:rPr>
        <w:t>Régimen jurídico de la actividad periodística</w:t>
      </w:r>
    </w:p>
    <w:bookmarkEnd w:id="0"/>
    <w:p w:rsidR="006E117C" w:rsidRDefault="006E117C">
      <w:pPr>
        <w:pStyle w:val="Normal1"/>
        <w:spacing w:after="0" w:line="360" w:lineRule="auto"/>
        <w:jc w:val="center"/>
        <w:rPr>
          <w:rFonts w:ascii="Garamond" w:hAnsi="Garamond" w:cs="Garamond"/>
          <w:sz w:val="24"/>
          <w:szCs w:val="24"/>
        </w:rPr>
      </w:pPr>
      <w:r>
        <w:rPr>
          <w:rFonts w:ascii="Garamond" w:hAnsi="Garamond" w:cs="Garamond"/>
          <w:sz w:val="24"/>
          <w:szCs w:val="24"/>
        </w:rPr>
        <w:t xml:space="preserve"> </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Profesor</w:t>
      </w:r>
      <w:r w:rsidR="00484A8C">
        <w:rPr>
          <w:rFonts w:ascii="Garamond" w:hAnsi="Garamond" w:cs="Garamond"/>
          <w:sz w:val="24"/>
          <w:szCs w:val="24"/>
        </w:rPr>
        <w:t>es</w:t>
      </w:r>
      <w:r>
        <w:rPr>
          <w:rFonts w:ascii="Garamond" w:hAnsi="Garamond" w:cs="Garamond"/>
          <w:sz w:val="24"/>
          <w:szCs w:val="24"/>
        </w:rPr>
        <w:t>: Dr. Damián Loreti</w:t>
      </w:r>
      <w:r w:rsidR="00484A8C">
        <w:rPr>
          <w:rFonts w:ascii="Garamond" w:hAnsi="Garamond" w:cs="Garamond"/>
          <w:sz w:val="24"/>
          <w:szCs w:val="24"/>
        </w:rPr>
        <w:t xml:space="preserve"> y Lic. Mg. Wanda Fraiman</w:t>
      </w:r>
    </w:p>
    <w:p w:rsidR="006E117C" w:rsidRDefault="006E117C">
      <w:pPr>
        <w:pStyle w:val="Normal1"/>
        <w:spacing w:after="0" w:line="360" w:lineRule="auto"/>
        <w:jc w:val="both"/>
        <w:rPr>
          <w:rFonts w:ascii="Garamond" w:hAnsi="Garamond" w:cs="Garamond"/>
          <w:sz w:val="24"/>
          <w:szCs w:val="24"/>
        </w:rPr>
      </w:pP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Presentación de la materia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La asignatura propone la formación de </w:t>
      </w:r>
      <w:proofErr w:type="spellStart"/>
      <w:r>
        <w:rPr>
          <w:rFonts w:ascii="Garamond" w:hAnsi="Garamond" w:cs="Garamond"/>
          <w:sz w:val="24"/>
          <w:szCs w:val="24"/>
        </w:rPr>
        <w:t>lxs</w:t>
      </w:r>
      <w:proofErr w:type="spellEnd"/>
      <w:r>
        <w:rPr>
          <w:rFonts w:ascii="Garamond" w:hAnsi="Garamond" w:cs="Garamond"/>
          <w:sz w:val="24"/>
          <w:szCs w:val="24"/>
        </w:rPr>
        <w:t xml:space="preserve"> </w:t>
      </w:r>
      <w:proofErr w:type="spellStart"/>
      <w:r>
        <w:rPr>
          <w:rFonts w:ascii="Garamond" w:hAnsi="Garamond" w:cs="Garamond"/>
          <w:sz w:val="24"/>
          <w:szCs w:val="24"/>
        </w:rPr>
        <w:t>maestrandxs</w:t>
      </w:r>
      <w:proofErr w:type="spellEnd"/>
      <w:r>
        <w:rPr>
          <w:rFonts w:ascii="Garamond" w:hAnsi="Garamond" w:cs="Garamond"/>
          <w:sz w:val="24"/>
          <w:szCs w:val="24"/>
        </w:rPr>
        <w:t xml:space="preserve"> acerca de los principios generales del derecho a la comunicación establecidos por el sistema internacional de los derechos humanos.</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El programa recorre los regímenes jurídicos en torno a las responsabilidades y facultades por el ejercicio de la actividad periodística, el derecho de acceso a la información pública y la regulación de los servicios de comunicación audiovisual.</w:t>
      </w:r>
    </w:p>
    <w:p w:rsidR="006E117C" w:rsidRDefault="006E117C">
      <w:pPr>
        <w:pStyle w:val="Normal1"/>
        <w:spacing w:after="0" w:line="360" w:lineRule="auto"/>
        <w:jc w:val="both"/>
        <w:rPr>
          <w:rFonts w:ascii="Garamond" w:hAnsi="Garamond" w:cs="Garamond"/>
          <w:sz w:val="24"/>
          <w:szCs w:val="24"/>
        </w:rPr>
      </w:pP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Metodología de trabajo</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El curso se desarrollará bajo la modalidad de un seminario, a través de la exposición por parte </w:t>
      </w:r>
      <w:proofErr w:type="gramStart"/>
      <w:r>
        <w:rPr>
          <w:rFonts w:ascii="Garamond" w:hAnsi="Garamond" w:cs="Garamond"/>
          <w:sz w:val="24"/>
          <w:szCs w:val="24"/>
        </w:rPr>
        <w:t>del</w:t>
      </w:r>
      <w:proofErr w:type="gramEnd"/>
      <w:r>
        <w:rPr>
          <w:rFonts w:ascii="Garamond" w:hAnsi="Garamond" w:cs="Garamond"/>
          <w:sz w:val="24"/>
          <w:szCs w:val="24"/>
        </w:rPr>
        <w:t xml:space="preserve"> docente y la discusión grupal de las lecturas pautadas para cada encuentro. A lo largo de las sesiones se destinará un tiempo específico para la conversación sobre la incorporación de los contenidos en los planes de tesis de cada </w:t>
      </w:r>
      <w:proofErr w:type="spellStart"/>
      <w:r>
        <w:rPr>
          <w:rFonts w:ascii="Garamond" w:hAnsi="Garamond" w:cs="Garamond"/>
          <w:sz w:val="24"/>
          <w:szCs w:val="24"/>
        </w:rPr>
        <w:t>unx</w:t>
      </w:r>
      <w:proofErr w:type="spellEnd"/>
      <w:r>
        <w:rPr>
          <w:rFonts w:ascii="Garamond" w:hAnsi="Garamond" w:cs="Garamond"/>
          <w:sz w:val="24"/>
          <w:szCs w:val="24"/>
        </w:rPr>
        <w:t xml:space="preserve"> de </w:t>
      </w:r>
      <w:proofErr w:type="spellStart"/>
      <w:r>
        <w:rPr>
          <w:rFonts w:ascii="Garamond" w:hAnsi="Garamond" w:cs="Garamond"/>
          <w:sz w:val="24"/>
          <w:szCs w:val="24"/>
        </w:rPr>
        <w:t>lxs</w:t>
      </w:r>
      <w:proofErr w:type="spellEnd"/>
      <w:r>
        <w:rPr>
          <w:rFonts w:ascii="Garamond" w:hAnsi="Garamond" w:cs="Garamond"/>
          <w:sz w:val="24"/>
          <w:szCs w:val="24"/>
        </w:rPr>
        <w:t xml:space="preserve"> </w:t>
      </w:r>
      <w:proofErr w:type="spellStart"/>
      <w:r>
        <w:rPr>
          <w:rFonts w:ascii="Garamond" w:hAnsi="Garamond" w:cs="Garamond"/>
          <w:sz w:val="24"/>
          <w:szCs w:val="24"/>
        </w:rPr>
        <w:t>maestrandxs</w:t>
      </w:r>
      <w:proofErr w:type="spellEnd"/>
      <w:r>
        <w:rPr>
          <w:rFonts w:ascii="Garamond" w:hAnsi="Garamond" w:cs="Garamond"/>
          <w:sz w:val="24"/>
          <w:szCs w:val="24"/>
        </w:rPr>
        <w:t>.</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La evaluación se realizará por medio de la presentación de una monografía final.</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 </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Contenidos</w:t>
      </w:r>
    </w:p>
    <w:p w:rsidR="006E117C" w:rsidRDefault="006E117C" w:rsidP="008150F4">
      <w:pPr>
        <w:pStyle w:val="Normal1"/>
        <w:spacing w:before="120" w:after="0" w:line="360" w:lineRule="auto"/>
        <w:jc w:val="both"/>
        <w:rPr>
          <w:rFonts w:ascii="Garamond" w:hAnsi="Garamond" w:cs="Garamond"/>
          <w:b/>
          <w:bCs/>
          <w:sz w:val="24"/>
          <w:szCs w:val="24"/>
        </w:rPr>
      </w:pPr>
      <w:r>
        <w:rPr>
          <w:rFonts w:ascii="Garamond" w:hAnsi="Garamond" w:cs="Garamond"/>
          <w:b/>
          <w:bCs/>
          <w:sz w:val="24"/>
          <w:szCs w:val="24"/>
        </w:rPr>
        <w:t>Unidad I: Introducción a la universalidad del derecho a la comunicación y la libertad de expresión</w:t>
      </w:r>
    </w:p>
    <w:p w:rsidR="006E117C" w:rsidRDefault="006E117C" w:rsidP="008150F4">
      <w:pPr>
        <w:pStyle w:val="Normal1"/>
        <w:spacing w:before="120" w:after="0" w:line="360" w:lineRule="auto"/>
        <w:jc w:val="both"/>
        <w:rPr>
          <w:rFonts w:ascii="Garamond" w:hAnsi="Garamond" w:cs="Garamond"/>
          <w:sz w:val="24"/>
          <w:szCs w:val="24"/>
        </w:rPr>
      </w:pPr>
      <w:r>
        <w:rPr>
          <w:rFonts w:ascii="Garamond" w:hAnsi="Garamond" w:cs="Garamond"/>
          <w:sz w:val="24"/>
          <w:szCs w:val="24"/>
        </w:rPr>
        <w:t>El derecho a la comunicación como derecho humano. Libertad de expresión y derecho a la información. El rol del Estado.</w:t>
      </w:r>
    </w:p>
    <w:p w:rsidR="006E117C" w:rsidRDefault="006E117C">
      <w:pPr>
        <w:pStyle w:val="Normal1"/>
        <w:spacing w:before="240" w:after="0" w:line="360" w:lineRule="auto"/>
        <w:jc w:val="both"/>
        <w:rPr>
          <w:rFonts w:ascii="Garamond" w:hAnsi="Garamond" w:cs="Garamond"/>
          <w:sz w:val="24"/>
          <w:szCs w:val="24"/>
        </w:rPr>
      </w:pPr>
      <w:r>
        <w:rPr>
          <w:rFonts w:ascii="Garamond" w:hAnsi="Garamond" w:cs="Garamond"/>
          <w:sz w:val="24"/>
          <w:szCs w:val="24"/>
        </w:rPr>
        <w:t>Bibliografía obligatoria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FISS, Owen (1999), La ironía de la libertad de expresión, Barcelona, Editorial GEDISA.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LORETI, Damián y LOZANO, Luis (2014) “El rol del Estado como garante del derecho humano a la comunicación”, en Loreti, D. y Lozano, L. </w:t>
      </w:r>
      <w:r>
        <w:rPr>
          <w:rFonts w:ascii="Garamond" w:hAnsi="Garamond" w:cs="Garamond"/>
          <w:i/>
          <w:iCs/>
          <w:sz w:val="24"/>
          <w:szCs w:val="24"/>
        </w:rPr>
        <w:t xml:space="preserve">El derecho a comunicar. Los conflictos en </w:t>
      </w:r>
      <w:r>
        <w:rPr>
          <w:rFonts w:ascii="Garamond" w:hAnsi="Garamond" w:cs="Garamond"/>
          <w:i/>
          <w:iCs/>
          <w:sz w:val="24"/>
          <w:szCs w:val="24"/>
        </w:rPr>
        <w:lastRenderedPageBreak/>
        <w:t>tornos a la libertad de expresión en las sociedades contemporáneas</w:t>
      </w:r>
      <w:r>
        <w:rPr>
          <w:rFonts w:ascii="Garamond" w:hAnsi="Garamond" w:cs="Garamond"/>
          <w:sz w:val="24"/>
          <w:szCs w:val="24"/>
        </w:rPr>
        <w:t>, Buenos Aires, Editorial Siglo Veintiuno.</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ROSSI, Diego; DE CHARRAS, Diego y LOZANO, Luis, (2013) “Ciudadanía(s) y derecho(s) a la comunicación” en Guillermo </w:t>
      </w:r>
      <w:proofErr w:type="spellStart"/>
      <w:r>
        <w:rPr>
          <w:rFonts w:ascii="Garamond" w:hAnsi="Garamond" w:cs="Garamond"/>
          <w:sz w:val="24"/>
          <w:szCs w:val="24"/>
        </w:rPr>
        <w:t>Mastrini</w:t>
      </w:r>
      <w:proofErr w:type="spellEnd"/>
      <w:r>
        <w:rPr>
          <w:rFonts w:ascii="Garamond" w:hAnsi="Garamond" w:cs="Garamond"/>
          <w:sz w:val="24"/>
          <w:szCs w:val="24"/>
        </w:rPr>
        <w:t xml:space="preserve">, Diego de Charras y Ana </w:t>
      </w:r>
      <w:proofErr w:type="spellStart"/>
      <w:r>
        <w:rPr>
          <w:rFonts w:ascii="Garamond" w:hAnsi="Garamond" w:cs="Garamond"/>
          <w:sz w:val="24"/>
          <w:szCs w:val="24"/>
        </w:rPr>
        <w:t>Bizberge</w:t>
      </w:r>
      <w:proofErr w:type="spellEnd"/>
      <w:r>
        <w:rPr>
          <w:rFonts w:ascii="Garamond" w:hAnsi="Garamond" w:cs="Garamond"/>
          <w:sz w:val="24"/>
          <w:szCs w:val="24"/>
        </w:rPr>
        <w:t xml:space="preserve"> (Eds.), </w:t>
      </w:r>
      <w:r>
        <w:rPr>
          <w:rFonts w:ascii="Garamond" w:hAnsi="Garamond" w:cs="Garamond"/>
          <w:i/>
          <w:iCs/>
          <w:sz w:val="24"/>
          <w:szCs w:val="24"/>
        </w:rPr>
        <w:t>Las Políticas de Comunicación en el siglo XXI. Nuevos y viejos desafíos</w:t>
      </w:r>
      <w:r>
        <w:rPr>
          <w:rFonts w:ascii="Garamond" w:hAnsi="Garamond" w:cs="Garamond"/>
          <w:sz w:val="24"/>
          <w:szCs w:val="24"/>
        </w:rPr>
        <w:t>, Buenos Aires, Editorial La Crujía.</w:t>
      </w:r>
    </w:p>
    <w:p w:rsidR="006E117C" w:rsidRDefault="006E117C">
      <w:pPr>
        <w:pStyle w:val="Normal1"/>
        <w:spacing w:after="0" w:line="360" w:lineRule="auto"/>
        <w:rPr>
          <w:rFonts w:ascii="Garamond" w:hAnsi="Garamond" w:cs="Garamond"/>
          <w:sz w:val="24"/>
          <w:szCs w:val="24"/>
        </w:rPr>
      </w:pPr>
      <w:r>
        <w:rPr>
          <w:rFonts w:ascii="Garamond" w:hAnsi="Garamond" w:cs="Garamond"/>
          <w:sz w:val="24"/>
          <w:szCs w:val="24"/>
        </w:rPr>
        <w:t xml:space="preserve"> </w:t>
      </w:r>
    </w:p>
    <w:p w:rsidR="006E117C" w:rsidRDefault="006E117C" w:rsidP="008150F4">
      <w:pPr>
        <w:pStyle w:val="Normal1"/>
        <w:spacing w:before="120" w:after="0" w:line="360" w:lineRule="auto"/>
        <w:jc w:val="both"/>
        <w:rPr>
          <w:rFonts w:ascii="Garamond" w:hAnsi="Garamond" w:cs="Garamond"/>
          <w:b/>
          <w:bCs/>
          <w:sz w:val="24"/>
          <w:szCs w:val="24"/>
        </w:rPr>
      </w:pPr>
      <w:r>
        <w:rPr>
          <w:rFonts w:ascii="Garamond" w:hAnsi="Garamond" w:cs="Garamond"/>
          <w:b/>
          <w:bCs/>
          <w:sz w:val="24"/>
          <w:szCs w:val="24"/>
        </w:rPr>
        <w:t>Unidad II: Derecho internacional de los derechos humanos y libertad de expresión</w:t>
      </w:r>
    </w:p>
    <w:p w:rsidR="006E117C" w:rsidRDefault="006E117C" w:rsidP="008150F4">
      <w:pPr>
        <w:pStyle w:val="Normal1"/>
        <w:spacing w:before="120" w:after="0" w:line="360" w:lineRule="auto"/>
        <w:jc w:val="both"/>
        <w:rPr>
          <w:rFonts w:ascii="Garamond" w:hAnsi="Garamond" w:cs="Garamond"/>
          <w:sz w:val="24"/>
          <w:szCs w:val="24"/>
        </w:rPr>
      </w:pPr>
      <w:r>
        <w:rPr>
          <w:rFonts w:ascii="Garamond" w:hAnsi="Garamond" w:cs="Garamond"/>
          <w:sz w:val="24"/>
          <w:szCs w:val="24"/>
        </w:rPr>
        <w:t>Los sistemas internacionales de derechos humanos. Universalidad y progresividad. El artículo 13 de la Convención Americana sobre Derechos Humanos y su relación con otras Cartas y Tratados. Principios generales sobre responsabilidades ulteriores. Censura y restricciones.</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 </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Bibliografía obligatoria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ABRAMOVICH, Víctor (2004) “Una Aproximación al Enfoque de Derechos en las Estrategias y Políticas de Desarrollo de América Latina”.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Recuperado de</w:t>
      </w:r>
    </w:p>
    <w:p w:rsidR="006E117C" w:rsidRDefault="006E117C">
      <w:pPr>
        <w:pStyle w:val="Normal1"/>
        <w:spacing w:after="0" w:line="360" w:lineRule="auto"/>
        <w:jc w:val="both"/>
        <w:rPr>
          <w:rFonts w:ascii="Garamond" w:hAnsi="Garamond" w:cs="Garamond"/>
          <w:color w:val="1155CC"/>
          <w:sz w:val="24"/>
          <w:szCs w:val="24"/>
          <w:u w:val="single"/>
        </w:rPr>
      </w:pPr>
      <w:r>
        <w:fldChar w:fldCharType="begin"/>
      </w:r>
      <w:r>
        <w:instrText xml:space="preserve"> HYPERLINK "http://www.dhl.hegoa.ehu.es/ficheros/0000/0057/enfoque_de_dchos_en_estrategias_y_politicas_desarrollo_Am_Lat.pdf" </w:instrText>
      </w:r>
      <w:r>
        <w:fldChar w:fldCharType="separate"/>
      </w:r>
      <w:r>
        <w:rPr>
          <w:rFonts w:ascii="Garamond" w:hAnsi="Garamond" w:cs="Garamond"/>
          <w:color w:val="1155CC"/>
          <w:sz w:val="24"/>
          <w:szCs w:val="24"/>
          <w:u w:val="single"/>
        </w:rPr>
        <w:t>http://www.dhl.hegoa.ehu.es/ficheros/0000/0057/enfoque_de_dchos_en_estrategias_y_politicas_desarrollo_Am_Lat.pdf</w:t>
      </w:r>
    </w:p>
    <w:p w:rsidR="006E117C" w:rsidRDefault="006E117C">
      <w:pPr>
        <w:pStyle w:val="Normal1"/>
        <w:spacing w:after="0" w:line="360" w:lineRule="auto"/>
        <w:jc w:val="both"/>
        <w:rPr>
          <w:rFonts w:ascii="Garamond" w:hAnsi="Garamond" w:cs="Garamond"/>
          <w:sz w:val="24"/>
          <w:szCs w:val="24"/>
        </w:rPr>
      </w:pPr>
      <w:r>
        <w:fldChar w:fldCharType="end"/>
      </w:r>
      <w:r>
        <w:rPr>
          <w:rFonts w:ascii="Garamond" w:hAnsi="Garamond" w:cs="Garamond"/>
          <w:sz w:val="24"/>
          <w:szCs w:val="24"/>
        </w:rPr>
        <w:t>Comisión Interamericana de Derechos Humanos (2000) “Declaración de Principios sobre Libertad de Expresión”.</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Recuperado de</w:t>
      </w:r>
    </w:p>
    <w:p w:rsidR="006E117C" w:rsidRDefault="006E117C">
      <w:pPr>
        <w:pStyle w:val="Normal1"/>
        <w:spacing w:after="0" w:line="360" w:lineRule="auto"/>
        <w:jc w:val="both"/>
        <w:rPr>
          <w:rFonts w:ascii="Garamond" w:hAnsi="Garamond" w:cs="Garamond"/>
          <w:color w:val="1155CC"/>
          <w:sz w:val="24"/>
          <w:szCs w:val="24"/>
          <w:u w:val="single"/>
        </w:rPr>
      </w:pPr>
      <w:r>
        <w:fldChar w:fldCharType="begin"/>
      </w:r>
      <w:r>
        <w:instrText xml:space="preserve"> HYPERLINK "http://www.oas.org/es/cidh/mandato/Basicos/PrincipiosLE.asp" </w:instrText>
      </w:r>
      <w:r>
        <w:fldChar w:fldCharType="separate"/>
      </w:r>
      <w:r>
        <w:rPr>
          <w:rFonts w:ascii="Garamond" w:hAnsi="Garamond" w:cs="Garamond"/>
          <w:color w:val="1155CC"/>
          <w:sz w:val="24"/>
          <w:szCs w:val="24"/>
          <w:u w:val="single"/>
        </w:rPr>
        <w:t>http://www.oas.org/es/cidh/mandato/Basicos/PrincipiosLE.asp</w:t>
      </w:r>
    </w:p>
    <w:p w:rsidR="006E117C" w:rsidRDefault="006E117C">
      <w:pPr>
        <w:pStyle w:val="Normal1"/>
        <w:spacing w:after="0" w:line="360" w:lineRule="auto"/>
        <w:jc w:val="both"/>
        <w:rPr>
          <w:rFonts w:ascii="Garamond" w:hAnsi="Garamond" w:cs="Garamond"/>
          <w:sz w:val="24"/>
          <w:szCs w:val="24"/>
        </w:rPr>
      </w:pPr>
      <w:r>
        <w:fldChar w:fldCharType="end"/>
      </w:r>
      <w:r>
        <w:rPr>
          <w:rFonts w:ascii="Garamond" w:hAnsi="Garamond" w:cs="Garamond"/>
          <w:sz w:val="24"/>
          <w:szCs w:val="24"/>
        </w:rPr>
        <w:t xml:space="preserve">Corte Interamericana de Derechos Humanos (2008) “Caso </w:t>
      </w:r>
      <w:proofErr w:type="spellStart"/>
      <w:r>
        <w:rPr>
          <w:rFonts w:ascii="Garamond" w:hAnsi="Garamond" w:cs="Garamond"/>
          <w:sz w:val="24"/>
          <w:szCs w:val="24"/>
        </w:rPr>
        <w:t>Kimel</w:t>
      </w:r>
      <w:proofErr w:type="spellEnd"/>
      <w:r>
        <w:rPr>
          <w:rFonts w:ascii="Garamond" w:hAnsi="Garamond" w:cs="Garamond"/>
          <w:sz w:val="24"/>
          <w:szCs w:val="24"/>
        </w:rPr>
        <w:t xml:space="preserve"> vs. Argentina”.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Recuperado de</w:t>
      </w:r>
    </w:p>
    <w:p w:rsidR="006E117C" w:rsidRDefault="006E117C">
      <w:pPr>
        <w:pStyle w:val="Normal1"/>
        <w:spacing w:after="0" w:line="360" w:lineRule="auto"/>
        <w:jc w:val="both"/>
        <w:rPr>
          <w:rFonts w:ascii="Garamond" w:hAnsi="Garamond" w:cs="Garamond"/>
          <w:color w:val="1155CC"/>
          <w:sz w:val="24"/>
          <w:szCs w:val="24"/>
          <w:u w:val="single"/>
        </w:rPr>
      </w:pPr>
      <w:r>
        <w:rPr>
          <w:rFonts w:ascii="Garamond" w:hAnsi="Garamond" w:cs="Garamond"/>
          <w:color w:val="1155CC"/>
          <w:sz w:val="24"/>
          <w:szCs w:val="24"/>
          <w:u w:val="single"/>
        </w:rPr>
        <w:t>http://www.corteidh.or.cr/docs/casos/articulos/seriec_177_esp.pdf</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COURTIS, Christian (2006) “La prohibición de regresividad en materia de derechos sociales: apuntes introductorios” en </w:t>
      </w:r>
      <w:r>
        <w:rPr>
          <w:rFonts w:ascii="Garamond" w:hAnsi="Garamond" w:cs="Garamond"/>
          <w:i/>
          <w:iCs/>
          <w:sz w:val="24"/>
          <w:szCs w:val="24"/>
        </w:rPr>
        <w:t>Ni un paso atrás. La prohibición de regresividad en materia de derechos sociales</w:t>
      </w:r>
      <w:r>
        <w:rPr>
          <w:rFonts w:ascii="Garamond" w:hAnsi="Garamond" w:cs="Garamond"/>
          <w:sz w:val="24"/>
          <w:szCs w:val="24"/>
        </w:rPr>
        <w:t>, Buenos Aires, Editores del Puerto.</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LORETI, Damián y LOZANO, Luis (2014) “El derrotero de la </w:t>
      </w:r>
      <w:proofErr w:type="spellStart"/>
      <w:r>
        <w:rPr>
          <w:rFonts w:ascii="Garamond" w:hAnsi="Garamond" w:cs="Garamond"/>
          <w:sz w:val="24"/>
          <w:szCs w:val="24"/>
        </w:rPr>
        <w:t>censura”y</w:t>
      </w:r>
      <w:proofErr w:type="spellEnd"/>
      <w:r>
        <w:rPr>
          <w:rFonts w:ascii="Garamond" w:hAnsi="Garamond" w:cs="Garamond"/>
          <w:sz w:val="24"/>
          <w:szCs w:val="24"/>
        </w:rPr>
        <w:t xml:space="preserve"> “Las herramientas del poder frente a la crítica”, en Loreti, D. y Lozano L.,  </w:t>
      </w:r>
      <w:r>
        <w:rPr>
          <w:rFonts w:ascii="Garamond" w:hAnsi="Garamond" w:cs="Garamond"/>
          <w:i/>
          <w:iCs/>
          <w:sz w:val="24"/>
          <w:szCs w:val="24"/>
        </w:rPr>
        <w:t>El derecho a comunicar. Los conflictos en tornos a la libertad de expresión en las sociedades contemporáneas</w:t>
      </w:r>
      <w:r>
        <w:rPr>
          <w:rFonts w:ascii="Garamond" w:hAnsi="Garamond" w:cs="Garamond"/>
          <w:sz w:val="24"/>
          <w:szCs w:val="24"/>
        </w:rPr>
        <w:t>, Buenos Aires, Editorial Siglo Veintiuno.</w:t>
      </w:r>
    </w:p>
    <w:p w:rsidR="006E117C" w:rsidRDefault="006E117C">
      <w:pPr>
        <w:pStyle w:val="Normal1"/>
        <w:spacing w:after="0" w:line="360" w:lineRule="auto"/>
        <w:rPr>
          <w:rFonts w:ascii="Garamond" w:hAnsi="Garamond" w:cs="Garamond"/>
          <w:color w:val="1155CC"/>
          <w:sz w:val="24"/>
          <w:szCs w:val="24"/>
          <w:u w:val="single"/>
        </w:rPr>
      </w:pPr>
      <w:r>
        <w:rPr>
          <w:rFonts w:ascii="Garamond" w:hAnsi="Garamond" w:cs="Garamond"/>
          <w:sz w:val="24"/>
          <w:szCs w:val="24"/>
        </w:rPr>
        <w:lastRenderedPageBreak/>
        <w:t>VAZQUEZ, Luis Daniel y SERRANO, Sandra “Los principios de universalidad, interdependencia, indivisibilidad y progresividad. Apuntes para su aplicación práctica”. Recuperado de</w:t>
      </w:r>
      <w:hyperlink r:id="rId7">
        <w:r>
          <w:rPr>
            <w:rFonts w:ascii="Garamond" w:hAnsi="Garamond" w:cs="Garamond"/>
            <w:sz w:val="24"/>
            <w:szCs w:val="24"/>
          </w:rPr>
          <w:t xml:space="preserve"> </w:t>
        </w:r>
      </w:hyperlink>
      <w:r>
        <w:fldChar w:fldCharType="begin"/>
      </w:r>
      <w:r>
        <w:instrText xml:space="preserve"> HYPERLINK "http://www.pensamientopenal.com.ar/system/files/2014/12/doctrina36367.pdf" </w:instrText>
      </w:r>
      <w:r>
        <w:fldChar w:fldCharType="separate"/>
      </w:r>
      <w:r>
        <w:rPr>
          <w:rFonts w:ascii="Garamond" w:hAnsi="Garamond" w:cs="Garamond"/>
          <w:color w:val="1155CC"/>
          <w:sz w:val="24"/>
          <w:szCs w:val="24"/>
          <w:u w:val="single"/>
        </w:rPr>
        <w:t>http://www.pensamientopenal.com.ar/system/files/2014/12/doctrina36367.pdf</w:t>
      </w:r>
    </w:p>
    <w:p w:rsidR="006E117C" w:rsidRDefault="006E117C">
      <w:pPr>
        <w:pStyle w:val="Normal1"/>
        <w:spacing w:after="0" w:line="360" w:lineRule="auto"/>
        <w:jc w:val="both"/>
        <w:rPr>
          <w:rFonts w:ascii="Garamond" w:hAnsi="Garamond" w:cs="Garamond"/>
          <w:sz w:val="24"/>
          <w:szCs w:val="24"/>
        </w:rPr>
      </w:pPr>
      <w:r>
        <w:fldChar w:fldCharType="end"/>
      </w:r>
      <w:r>
        <w:rPr>
          <w:rFonts w:ascii="Garamond" w:hAnsi="Garamond" w:cs="Garamond"/>
          <w:sz w:val="24"/>
          <w:szCs w:val="24"/>
        </w:rPr>
        <w:t xml:space="preserve"> </w:t>
      </w:r>
    </w:p>
    <w:p w:rsidR="006E117C" w:rsidRDefault="006E117C" w:rsidP="008150F4">
      <w:pPr>
        <w:pStyle w:val="Normal1"/>
        <w:spacing w:before="120" w:after="0" w:line="360" w:lineRule="auto"/>
        <w:jc w:val="both"/>
        <w:rPr>
          <w:rFonts w:ascii="Garamond" w:hAnsi="Garamond" w:cs="Garamond"/>
          <w:b/>
          <w:bCs/>
          <w:sz w:val="24"/>
          <w:szCs w:val="24"/>
        </w:rPr>
      </w:pPr>
      <w:r>
        <w:rPr>
          <w:rFonts w:ascii="Garamond" w:hAnsi="Garamond" w:cs="Garamond"/>
          <w:b/>
          <w:bCs/>
          <w:sz w:val="24"/>
          <w:szCs w:val="24"/>
        </w:rPr>
        <w:t>Unidad III: Ejercicio de la profesión periodística</w:t>
      </w:r>
    </w:p>
    <w:p w:rsidR="006E117C" w:rsidRDefault="006E117C" w:rsidP="008150F4">
      <w:pPr>
        <w:pStyle w:val="Normal1"/>
        <w:spacing w:before="120" w:after="0" w:line="360" w:lineRule="auto"/>
        <w:jc w:val="both"/>
        <w:rPr>
          <w:rFonts w:ascii="Garamond" w:hAnsi="Garamond" w:cs="Garamond"/>
          <w:sz w:val="24"/>
          <w:szCs w:val="24"/>
        </w:rPr>
      </w:pPr>
      <w:r>
        <w:rPr>
          <w:rFonts w:ascii="Garamond" w:hAnsi="Garamond" w:cs="Garamond"/>
          <w:sz w:val="24"/>
          <w:szCs w:val="24"/>
        </w:rPr>
        <w:t>Distinción entre ser y no ser periodista. Derecho de rectificación o respuesta. Secreto de la fuente de la información. Cláusulas profesionales. Estatuto del periodista.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 </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Bibliografía obligatoria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CARRILLO, Marc (1993) "La cláusula de conciencia y el secreto profesional de los periodistas".</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Recuperado de</w:t>
      </w:r>
    </w:p>
    <w:p w:rsidR="006E117C" w:rsidRDefault="006E117C">
      <w:pPr>
        <w:pStyle w:val="Normal1"/>
        <w:spacing w:after="0" w:line="360" w:lineRule="auto"/>
        <w:jc w:val="both"/>
        <w:rPr>
          <w:rFonts w:ascii="Garamond" w:hAnsi="Garamond" w:cs="Garamond"/>
          <w:color w:val="1155CC"/>
          <w:sz w:val="24"/>
          <w:szCs w:val="24"/>
          <w:u w:val="single"/>
        </w:rPr>
      </w:pPr>
      <w:r>
        <w:fldChar w:fldCharType="begin"/>
      </w:r>
      <w:r>
        <w:instrText xml:space="preserve"> HYPERLINK "https://archivos.juridicas.unam.mx/www/bjv/libros/1/7/21.pdf" </w:instrText>
      </w:r>
      <w:r>
        <w:fldChar w:fldCharType="separate"/>
      </w:r>
      <w:r>
        <w:rPr>
          <w:rFonts w:ascii="Garamond" w:hAnsi="Garamond" w:cs="Garamond"/>
          <w:color w:val="1155CC"/>
          <w:sz w:val="24"/>
          <w:szCs w:val="24"/>
          <w:u w:val="single"/>
        </w:rPr>
        <w:t>https://archivos.juridicas.unam.mx/www/bjv/libros/1/7/21.pdf</w:t>
      </w:r>
    </w:p>
    <w:p w:rsidR="006E117C" w:rsidRDefault="006E117C">
      <w:pPr>
        <w:pStyle w:val="Normal1"/>
        <w:spacing w:after="0" w:line="360" w:lineRule="auto"/>
        <w:jc w:val="both"/>
        <w:rPr>
          <w:rFonts w:ascii="Garamond" w:hAnsi="Garamond" w:cs="Garamond"/>
          <w:sz w:val="24"/>
          <w:szCs w:val="24"/>
        </w:rPr>
      </w:pPr>
      <w:r>
        <w:fldChar w:fldCharType="end"/>
      </w:r>
      <w:r>
        <w:rPr>
          <w:rFonts w:ascii="Garamond" w:hAnsi="Garamond" w:cs="Garamond"/>
          <w:sz w:val="24"/>
          <w:szCs w:val="24"/>
        </w:rPr>
        <w:t>Corte Interamericana de Derechos Humanos (1985) “Opinión consultiva OC- 5/85, la colegiación obligatoria de periodistas”.</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Recuperado de</w:t>
      </w:r>
    </w:p>
    <w:p w:rsidR="006E117C" w:rsidRDefault="006E117C">
      <w:pPr>
        <w:pStyle w:val="Normal1"/>
        <w:spacing w:after="0" w:line="360" w:lineRule="auto"/>
        <w:jc w:val="both"/>
        <w:rPr>
          <w:rFonts w:ascii="Garamond" w:hAnsi="Garamond" w:cs="Garamond"/>
          <w:color w:val="1155CC"/>
          <w:sz w:val="24"/>
          <w:szCs w:val="24"/>
          <w:u w:val="single"/>
        </w:rPr>
      </w:pPr>
      <w:r>
        <w:fldChar w:fldCharType="begin"/>
      </w:r>
      <w:r>
        <w:instrText xml:space="preserve"> HYPERLINK "http://www.corteidh.or.cr/docs/opiniones/seriea_05_esp.pdf" </w:instrText>
      </w:r>
      <w:r>
        <w:fldChar w:fldCharType="separate"/>
      </w:r>
      <w:r>
        <w:rPr>
          <w:rFonts w:ascii="Garamond" w:hAnsi="Garamond" w:cs="Garamond"/>
          <w:color w:val="1155CC"/>
          <w:sz w:val="24"/>
          <w:szCs w:val="24"/>
          <w:u w:val="single"/>
        </w:rPr>
        <w:t>http://www.corteidh.or.cr/docs/opiniones/seriea_05_esp.pdf</w:t>
      </w:r>
    </w:p>
    <w:p w:rsidR="006E117C" w:rsidRDefault="006E117C">
      <w:pPr>
        <w:pStyle w:val="Normal1"/>
        <w:spacing w:after="0" w:line="360" w:lineRule="auto"/>
        <w:jc w:val="both"/>
        <w:rPr>
          <w:rFonts w:ascii="Garamond" w:hAnsi="Garamond" w:cs="Garamond"/>
          <w:sz w:val="24"/>
          <w:szCs w:val="24"/>
        </w:rPr>
      </w:pPr>
      <w:r>
        <w:fldChar w:fldCharType="end"/>
      </w:r>
      <w:r>
        <w:rPr>
          <w:rFonts w:ascii="Garamond" w:hAnsi="Garamond" w:cs="Garamond"/>
          <w:sz w:val="24"/>
          <w:szCs w:val="24"/>
        </w:rPr>
        <w:t>ELIADES, Analía (2017) “El derecho de rectificación o respuesta en la jurisprudencia de la Corte Suprema de Justicia de la Nación”.</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Recuperado de</w:t>
      </w:r>
    </w:p>
    <w:p w:rsidR="006E117C" w:rsidRDefault="006E117C">
      <w:pPr>
        <w:pStyle w:val="Normal1"/>
        <w:spacing w:after="0" w:line="360" w:lineRule="auto"/>
        <w:jc w:val="both"/>
        <w:rPr>
          <w:rFonts w:ascii="Garamond" w:hAnsi="Garamond" w:cs="Garamond"/>
          <w:color w:val="1155CC"/>
          <w:sz w:val="24"/>
          <w:szCs w:val="24"/>
          <w:u w:val="single"/>
        </w:rPr>
      </w:pPr>
      <w:r>
        <w:fldChar w:fldCharType="begin"/>
      </w:r>
      <w:r>
        <w:instrText xml:space="preserve"> HYPERLINK "https://perio.unlp.edu.ar/catedras/system/files/eliades_rectificacion.pdf" </w:instrText>
      </w:r>
      <w:r>
        <w:fldChar w:fldCharType="separate"/>
      </w:r>
      <w:r>
        <w:rPr>
          <w:rFonts w:ascii="Garamond" w:hAnsi="Garamond" w:cs="Garamond"/>
          <w:color w:val="1155CC"/>
          <w:sz w:val="24"/>
          <w:szCs w:val="24"/>
          <w:u w:val="single"/>
        </w:rPr>
        <w:t>https://perio.unlp.edu.ar/catedras/system/files/eliades_rectificacion.pdf</w:t>
      </w:r>
    </w:p>
    <w:p w:rsidR="006E117C" w:rsidRDefault="006E117C">
      <w:pPr>
        <w:pStyle w:val="Normal1"/>
        <w:spacing w:after="0" w:line="360" w:lineRule="auto"/>
        <w:jc w:val="both"/>
        <w:rPr>
          <w:rFonts w:ascii="Garamond" w:hAnsi="Garamond" w:cs="Garamond"/>
          <w:sz w:val="24"/>
          <w:szCs w:val="24"/>
        </w:rPr>
      </w:pPr>
      <w:r>
        <w:fldChar w:fldCharType="end"/>
      </w:r>
      <w:r>
        <w:rPr>
          <w:rFonts w:ascii="Garamond" w:hAnsi="Garamond" w:cs="Garamond"/>
          <w:sz w:val="24"/>
          <w:szCs w:val="24"/>
        </w:rPr>
        <w:t>LORETI, Damián y LOZANO, Luis (2013) “El Estatuto del Periodista Profesional: alcances, vigencia y asignaturas pendientes” en Revista Derecho del Trabajo Año II - N° 4, Editorial Ministerio de Justicia y Derechos Humanos de la Nación, Buenos Aires.</w:t>
      </w:r>
    </w:p>
    <w:p w:rsidR="006E117C" w:rsidRDefault="006E117C">
      <w:pPr>
        <w:pStyle w:val="Normal1"/>
        <w:spacing w:after="0" w:line="360" w:lineRule="auto"/>
        <w:jc w:val="both"/>
        <w:rPr>
          <w:rFonts w:ascii="Garamond" w:hAnsi="Garamond" w:cs="Garamond"/>
          <w:b/>
          <w:bCs/>
          <w:sz w:val="24"/>
          <w:szCs w:val="24"/>
        </w:rPr>
      </w:pPr>
    </w:p>
    <w:p w:rsidR="006E117C" w:rsidRDefault="006E117C" w:rsidP="008150F4">
      <w:pPr>
        <w:pStyle w:val="Normal1"/>
        <w:spacing w:before="120" w:after="0" w:line="360" w:lineRule="auto"/>
        <w:jc w:val="both"/>
        <w:rPr>
          <w:rFonts w:ascii="Garamond" w:hAnsi="Garamond" w:cs="Garamond"/>
          <w:b/>
          <w:bCs/>
          <w:sz w:val="24"/>
          <w:szCs w:val="24"/>
        </w:rPr>
      </w:pPr>
      <w:r>
        <w:rPr>
          <w:rFonts w:ascii="Garamond" w:hAnsi="Garamond" w:cs="Garamond"/>
          <w:b/>
          <w:bCs/>
          <w:sz w:val="24"/>
          <w:szCs w:val="24"/>
        </w:rPr>
        <w:t>Unidad IV: Derecho de acceso a la información pública</w:t>
      </w:r>
    </w:p>
    <w:p w:rsidR="006E117C" w:rsidRDefault="006E117C" w:rsidP="008150F4">
      <w:pPr>
        <w:pStyle w:val="Normal1"/>
        <w:spacing w:before="120" w:after="0" w:line="360" w:lineRule="auto"/>
        <w:jc w:val="both"/>
        <w:rPr>
          <w:rFonts w:ascii="Garamond" w:hAnsi="Garamond" w:cs="Garamond"/>
          <w:sz w:val="24"/>
          <w:szCs w:val="24"/>
        </w:rPr>
      </w:pPr>
      <w:r>
        <w:rPr>
          <w:rFonts w:ascii="Garamond" w:hAnsi="Garamond" w:cs="Garamond"/>
          <w:sz w:val="24"/>
          <w:szCs w:val="24"/>
        </w:rPr>
        <w:t>Principios generales. Legislación histórica y normativa vigente. Derecho a la verdad. Información sensible, reservada y confidencial. Casos paradigmáticos.</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 </w:t>
      </w:r>
    </w:p>
    <w:p w:rsidR="006E117C" w:rsidRDefault="006E117C">
      <w:pPr>
        <w:pStyle w:val="Normal1"/>
        <w:spacing w:after="0" w:line="360" w:lineRule="auto"/>
        <w:jc w:val="both"/>
        <w:rPr>
          <w:rFonts w:ascii="Garamond" w:hAnsi="Garamond" w:cs="Garamond"/>
          <w:sz w:val="24"/>
          <w:szCs w:val="24"/>
        </w:rPr>
      </w:pPr>
    </w:p>
    <w:p w:rsidR="006E117C" w:rsidRDefault="006E117C">
      <w:pPr>
        <w:pStyle w:val="Normal1"/>
        <w:spacing w:after="0" w:line="360" w:lineRule="auto"/>
        <w:jc w:val="both"/>
        <w:rPr>
          <w:rFonts w:ascii="Garamond" w:hAnsi="Garamond" w:cs="Garamond"/>
          <w:sz w:val="24"/>
          <w:szCs w:val="24"/>
        </w:rPr>
      </w:pP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Bibliografía obligatoria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ABRAMOVICH, Víctor y COURTIS, Christian (2000) “El acceso a la información como derecho”, publicado en Anuario de Derecho a la Comunicación; Año 1, vol. 1, Buenos Aires, Editorial Siglo Veintiuno.</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BASTONS, Jorge Luis y ELIADES Analía (2008) “El derecho de acceso a la información pública. Derecho humano y herramienta fundamental para la realización de un control democrático de la actividad administrativa” en Jorge Luis </w:t>
      </w:r>
      <w:proofErr w:type="spellStart"/>
      <w:r>
        <w:rPr>
          <w:rFonts w:ascii="Garamond" w:hAnsi="Garamond" w:cs="Garamond"/>
          <w:sz w:val="24"/>
          <w:szCs w:val="24"/>
        </w:rPr>
        <w:t>Bastons</w:t>
      </w:r>
      <w:proofErr w:type="spellEnd"/>
      <w:r>
        <w:rPr>
          <w:rFonts w:ascii="Garamond" w:hAnsi="Garamond" w:cs="Garamond"/>
          <w:sz w:val="24"/>
          <w:szCs w:val="24"/>
        </w:rPr>
        <w:t xml:space="preserve"> (ed.) </w:t>
      </w:r>
      <w:r>
        <w:rPr>
          <w:rFonts w:ascii="Garamond" w:hAnsi="Garamond" w:cs="Garamond"/>
          <w:i/>
          <w:iCs/>
          <w:sz w:val="24"/>
          <w:szCs w:val="24"/>
        </w:rPr>
        <w:t>Derecho público para administrativistas</w:t>
      </w:r>
      <w:r>
        <w:rPr>
          <w:rFonts w:ascii="Garamond" w:hAnsi="Garamond" w:cs="Garamond"/>
          <w:sz w:val="24"/>
          <w:szCs w:val="24"/>
        </w:rPr>
        <w:t>, Editorial Platense, La Plata.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Comisión Interamericana de Derechos Humanos (2011) “El derecho de acceso a la información pública en las Américas. Estándares Interamericanos y comparación de marcos legales”.</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Recuperado de</w:t>
      </w:r>
    </w:p>
    <w:p w:rsidR="006E117C" w:rsidRDefault="006E117C">
      <w:pPr>
        <w:pStyle w:val="Normal1"/>
        <w:spacing w:after="0" w:line="360" w:lineRule="auto"/>
        <w:jc w:val="both"/>
        <w:rPr>
          <w:rFonts w:ascii="Garamond" w:hAnsi="Garamond" w:cs="Garamond"/>
          <w:color w:val="1155CC"/>
          <w:sz w:val="24"/>
          <w:szCs w:val="24"/>
          <w:u w:val="single"/>
        </w:rPr>
      </w:pPr>
      <w:r>
        <w:fldChar w:fldCharType="begin"/>
      </w:r>
      <w:r>
        <w:instrText xml:space="preserve"> HYPERLINK "http://www.oas.org/es/cidh/expresion/docs/publicaciones/El%20acceso%20a%20la%20informacion%20en%20las%20Americas%202012%2005%2015.pdf" </w:instrText>
      </w:r>
      <w:r>
        <w:fldChar w:fldCharType="separate"/>
      </w:r>
      <w:r>
        <w:rPr>
          <w:rFonts w:ascii="Garamond" w:hAnsi="Garamond" w:cs="Garamond"/>
          <w:color w:val="1155CC"/>
          <w:sz w:val="24"/>
          <w:szCs w:val="24"/>
          <w:u w:val="single"/>
        </w:rPr>
        <w:t>http://www.oas.org/es/cidh/expresion/docs/publicaciones/El%20acceso%20a%20la%20informacion%20en%20las%20Americas%202012%2005%2015.pdf</w:t>
      </w:r>
    </w:p>
    <w:p w:rsidR="006E117C" w:rsidRDefault="006E117C">
      <w:pPr>
        <w:pStyle w:val="Normal1"/>
        <w:spacing w:after="0" w:line="360" w:lineRule="auto"/>
        <w:jc w:val="both"/>
        <w:rPr>
          <w:rFonts w:ascii="Garamond" w:hAnsi="Garamond" w:cs="Garamond"/>
          <w:sz w:val="24"/>
          <w:szCs w:val="24"/>
        </w:rPr>
      </w:pPr>
      <w:r>
        <w:fldChar w:fldCharType="end"/>
      </w:r>
      <w:r>
        <w:rPr>
          <w:rFonts w:ascii="Garamond" w:hAnsi="Garamond" w:cs="Garamond"/>
          <w:sz w:val="24"/>
          <w:szCs w:val="24"/>
        </w:rPr>
        <w:t>FRAIMAN, Wanda, CARRILLO, Romina; BELVER, Violeta; GÜIDA, María Clara; FAINBOIM, Lucía; PASSERON, Ezequiel y CHÁVEZ, Gabriela (2018) “El acceso a la información científica como derecho. Surgimiento e implementación de la ley 26.899 de creación de Repositorios digitales” en Recorridos en investigación II: Programa Reconocimiento Institucional de Investigaciones Convocatoria 2013-2015, Universidad de Buenos Aires - Facultad de Ciencias Sociales, Buenos Aires.</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Recuperado de</w:t>
      </w:r>
    </w:p>
    <w:p w:rsidR="006E117C" w:rsidRDefault="006E117C">
      <w:pPr>
        <w:pStyle w:val="Normal1"/>
        <w:spacing w:after="0" w:line="360" w:lineRule="auto"/>
        <w:jc w:val="both"/>
        <w:rPr>
          <w:rFonts w:ascii="Garamond" w:hAnsi="Garamond" w:cs="Garamond"/>
          <w:color w:val="1155CC"/>
          <w:sz w:val="24"/>
          <w:szCs w:val="24"/>
          <w:u w:val="single"/>
        </w:rPr>
      </w:pPr>
      <w:r>
        <w:fldChar w:fldCharType="begin"/>
      </w:r>
      <w:r>
        <w:instrText xml:space="preserve"> HYPERLINK "http://www.sociales.uba.ar/wp-content/blogs.dir/219/files/2018/02/Libro_onlinePRI.pdf" </w:instrText>
      </w:r>
      <w:r>
        <w:fldChar w:fldCharType="separate"/>
      </w:r>
      <w:r>
        <w:rPr>
          <w:rFonts w:ascii="Garamond" w:hAnsi="Garamond" w:cs="Garamond"/>
          <w:color w:val="1155CC"/>
          <w:sz w:val="24"/>
          <w:szCs w:val="24"/>
          <w:u w:val="single"/>
        </w:rPr>
        <w:t>http://www.sociales.uba.ar/wp-content/blogs.dir/219/files/2018/02/Libro_onlinePRI.pdf</w:t>
      </w:r>
    </w:p>
    <w:p w:rsidR="006E117C" w:rsidRDefault="006E117C">
      <w:pPr>
        <w:pStyle w:val="Normal1"/>
        <w:spacing w:after="0" w:line="360" w:lineRule="auto"/>
        <w:jc w:val="both"/>
        <w:rPr>
          <w:rFonts w:ascii="Garamond" w:hAnsi="Garamond" w:cs="Garamond"/>
          <w:sz w:val="24"/>
          <w:szCs w:val="24"/>
          <w:highlight w:val="white"/>
        </w:rPr>
      </w:pPr>
      <w:r>
        <w:fldChar w:fldCharType="end"/>
      </w:r>
      <w:r>
        <w:rPr>
          <w:rFonts w:ascii="Garamond" w:hAnsi="Garamond" w:cs="Garamond"/>
          <w:sz w:val="24"/>
          <w:szCs w:val="24"/>
        </w:rPr>
        <w:t>FRAIMAN, Wanda “La tercera es la vencida: el derecho de acceso a la información pública sin perspectiva social”</w:t>
      </w:r>
      <w:r>
        <w:rPr>
          <w:rFonts w:ascii="Garamond" w:hAnsi="Garamond" w:cs="Garamond"/>
          <w:sz w:val="24"/>
          <w:szCs w:val="24"/>
          <w:highlight w:val="white"/>
        </w:rPr>
        <w:t xml:space="preserve">  en Loreti, D., De Charras, D. y Lozano, L. (eds.), </w:t>
      </w:r>
      <w:r>
        <w:rPr>
          <w:rFonts w:ascii="Garamond" w:hAnsi="Garamond" w:cs="Garamond"/>
          <w:i/>
          <w:iCs/>
          <w:sz w:val="24"/>
          <w:szCs w:val="24"/>
          <w:highlight w:val="white"/>
        </w:rPr>
        <w:t xml:space="preserve">500 Días y ninguna ley. La regulación de la comunicación en el inicio del gobierno de Mauricio </w:t>
      </w:r>
      <w:proofErr w:type="spellStart"/>
      <w:r>
        <w:rPr>
          <w:rFonts w:ascii="Garamond" w:hAnsi="Garamond" w:cs="Garamond"/>
          <w:i/>
          <w:iCs/>
          <w:sz w:val="24"/>
          <w:szCs w:val="24"/>
          <w:highlight w:val="white"/>
        </w:rPr>
        <w:t>Macri</w:t>
      </w:r>
      <w:proofErr w:type="spellEnd"/>
      <w:r>
        <w:rPr>
          <w:rFonts w:ascii="Garamond" w:hAnsi="Garamond" w:cs="Garamond"/>
          <w:sz w:val="24"/>
          <w:szCs w:val="24"/>
          <w:highlight w:val="white"/>
        </w:rPr>
        <w:t>, Universidad de Buenos Aires- Facultad de Ciencias Sociales, Buenos Aires. En prensa.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 </w:t>
      </w:r>
    </w:p>
    <w:p w:rsidR="006E117C" w:rsidRDefault="006E117C" w:rsidP="008150F4">
      <w:pPr>
        <w:pStyle w:val="Normal1"/>
        <w:spacing w:before="120" w:after="0" w:line="360" w:lineRule="auto"/>
        <w:jc w:val="both"/>
        <w:rPr>
          <w:rFonts w:ascii="Garamond" w:hAnsi="Garamond" w:cs="Garamond"/>
          <w:b/>
          <w:bCs/>
          <w:sz w:val="24"/>
          <w:szCs w:val="24"/>
        </w:rPr>
      </w:pPr>
      <w:r>
        <w:rPr>
          <w:rFonts w:ascii="Garamond" w:hAnsi="Garamond" w:cs="Garamond"/>
          <w:b/>
          <w:bCs/>
          <w:sz w:val="24"/>
          <w:szCs w:val="24"/>
        </w:rPr>
        <w:br w:type="page"/>
      </w:r>
      <w:r>
        <w:rPr>
          <w:rFonts w:ascii="Garamond" w:hAnsi="Garamond" w:cs="Garamond"/>
          <w:b/>
          <w:bCs/>
          <w:sz w:val="24"/>
          <w:szCs w:val="24"/>
        </w:rPr>
        <w:lastRenderedPageBreak/>
        <w:t>Unidad V: Servicios de comunicación audiovisual</w:t>
      </w:r>
    </w:p>
    <w:p w:rsidR="006E117C" w:rsidRDefault="006E117C" w:rsidP="008150F4">
      <w:pPr>
        <w:pStyle w:val="Normal1"/>
        <w:spacing w:before="120" w:after="0" w:line="360" w:lineRule="auto"/>
        <w:jc w:val="both"/>
        <w:rPr>
          <w:rFonts w:ascii="Garamond" w:hAnsi="Garamond" w:cs="Garamond"/>
          <w:sz w:val="24"/>
          <w:szCs w:val="24"/>
        </w:rPr>
      </w:pPr>
      <w:r>
        <w:rPr>
          <w:rFonts w:ascii="Garamond" w:hAnsi="Garamond" w:cs="Garamond"/>
          <w:sz w:val="24"/>
          <w:szCs w:val="24"/>
        </w:rPr>
        <w:t>Radiodifusión y Servicios de Comunicación Audiovisual. Criterios para la administración del espectro. Principios generales, legislación nacional y judicialización de la normativa.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 xml:space="preserve"> </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Bibliografía obligatoria</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BALADRON, Mariela y DE CHARRAS, Diego (2014) “Una mirada sobre la sentencia que confirmó la constitucionalidad de la Ley de Servicios de Comunicación Audiovisual (LSCA) en Argentina” en Chasqui. Revista Latinoamericana de Comunicación, Número 127, Diciembre 2014, pp.37-47, Quito.</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Recuperado de</w:t>
      </w:r>
    </w:p>
    <w:p w:rsidR="006E117C" w:rsidRDefault="006E117C">
      <w:pPr>
        <w:pStyle w:val="Normal1"/>
        <w:spacing w:after="0" w:line="360" w:lineRule="auto"/>
        <w:jc w:val="both"/>
        <w:rPr>
          <w:rFonts w:ascii="Garamond" w:hAnsi="Garamond" w:cs="Garamond"/>
          <w:color w:val="1155CC"/>
          <w:sz w:val="24"/>
          <w:szCs w:val="24"/>
          <w:u w:val="single"/>
        </w:rPr>
      </w:pPr>
      <w:r>
        <w:fldChar w:fldCharType="begin"/>
      </w:r>
      <w:r>
        <w:instrText xml:space="preserve"> HYPERLINK "https://revistachasqui.org/index.php/chasqui/article/view/2292" </w:instrText>
      </w:r>
      <w:r>
        <w:fldChar w:fldCharType="separate"/>
      </w:r>
      <w:r>
        <w:rPr>
          <w:rFonts w:ascii="Garamond" w:hAnsi="Garamond" w:cs="Garamond"/>
          <w:color w:val="1155CC"/>
          <w:sz w:val="24"/>
          <w:szCs w:val="24"/>
          <w:u w:val="single"/>
        </w:rPr>
        <w:t>https://revistachasqui.org/index.php/chasqui/article/view/2292</w:t>
      </w:r>
    </w:p>
    <w:p w:rsidR="006E117C" w:rsidRDefault="006E117C">
      <w:pPr>
        <w:pStyle w:val="Normal1"/>
        <w:spacing w:after="0" w:line="360" w:lineRule="auto"/>
        <w:jc w:val="both"/>
        <w:rPr>
          <w:rFonts w:ascii="Garamond" w:hAnsi="Garamond" w:cs="Garamond"/>
          <w:sz w:val="24"/>
          <w:szCs w:val="24"/>
          <w:highlight w:val="white"/>
        </w:rPr>
      </w:pPr>
      <w:r>
        <w:fldChar w:fldCharType="end"/>
      </w:r>
      <w:r>
        <w:rPr>
          <w:rFonts w:ascii="Garamond" w:hAnsi="Garamond" w:cs="Garamond"/>
          <w:sz w:val="24"/>
          <w:szCs w:val="24"/>
          <w:highlight w:val="white"/>
        </w:rPr>
        <w:t xml:space="preserve">CALIFANO, </w:t>
      </w:r>
      <w:proofErr w:type="spellStart"/>
      <w:r>
        <w:rPr>
          <w:rFonts w:ascii="Garamond" w:hAnsi="Garamond" w:cs="Garamond"/>
          <w:sz w:val="24"/>
          <w:szCs w:val="24"/>
          <w:highlight w:val="white"/>
        </w:rPr>
        <w:t>Bernadette</w:t>
      </w:r>
      <w:proofErr w:type="spellEnd"/>
      <w:r>
        <w:rPr>
          <w:rFonts w:ascii="Garamond" w:hAnsi="Garamond" w:cs="Garamond"/>
          <w:sz w:val="24"/>
          <w:szCs w:val="24"/>
          <w:highlight w:val="white"/>
        </w:rPr>
        <w:t xml:space="preserve"> (2015) “Perspectivas conceptuales para el análisis del Estado y las políticas de comunicación” en Revista </w:t>
      </w:r>
      <w:r>
        <w:rPr>
          <w:rFonts w:ascii="Garamond" w:hAnsi="Garamond" w:cs="Garamond"/>
          <w:i/>
          <w:iCs/>
          <w:sz w:val="24"/>
          <w:szCs w:val="24"/>
          <w:highlight w:val="white"/>
        </w:rPr>
        <w:t>Austral Comunicación</w:t>
      </w:r>
      <w:r>
        <w:rPr>
          <w:rFonts w:ascii="Garamond" w:hAnsi="Garamond" w:cs="Garamond"/>
          <w:sz w:val="24"/>
          <w:szCs w:val="24"/>
          <w:highlight w:val="white"/>
        </w:rPr>
        <w:t xml:space="preserve">, Volumen </w:t>
      </w:r>
      <w:r>
        <w:rPr>
          <w:rFonts w:ascii="Garamond" w:hAnsi="Garamond" w:cs="Garamond"/>
          <w:i/>
          <w:iCs/>
          <w:sz w:val="24"/>
          <w:szCs w:val="24"/>
          <w:highlight w:val="white"/>
        </w:rPr>
        <w:t>4, Número 2,</w:t>
      </w:r>
      <w:r>
        <w:rPr>
          <w:rFonts w:ascii="Garamond" w:hAnsi="Garamond" w:cs="Garamond"/>
          <w:sz w:val="24"/>
          <w:szCs w:val="24"/>
          <w:highlight w:val="white"/>
        </w:rPr>
        <w:t xml:space="preserve"> </w:t>
      </w:r>
      <w:proofErr w:type="spellStart"/>
      <w:r>
        <w:rPr>
          <w:rFonts w:ascii="Garamond" w:hAnsi="Garamond" w:cs="Garamond"/>
          <w:sz w:val="24"/>
          <w:szCs w:val="24"/>
          <w:highlight w:val="white"/>
        </w:rPr>
        <w:t>pp</w:t>
      </w:r>
      <w:proofErr w:type="spellEnd"/>
      <w:r>
        <w:rPr>
          <w:rFonts w:ascii="Garamond" w:hAnsi="Garamond" w:cs="Garamond"/>
          <w:sz w:val="24"/>
          <w:szCs w:val="24"/>
          <w:highlight w:val="white"/>
        </w:rPr>
        <w:t xml:space="preserve"> 283-318, Buenos Aires.</w:t>
      </w:r>
    </w:p>
    <w:p w:rsidR="006E117C" w:rsidRDefault="006E117C">
      <w:pPr>
        <w:pStyle w:val="Normal1"/>
        <w:spacing w:after="0" w:line="360" w:lineRule="auto"/>
        <w:jc w:val="both"/>
        <w:rPr>
          <w:rFonts w:ascii="Garamond" w:hAnsi="Garamond" w:cs="Garamond"/>
          <w:sz w:val="24"/>
          <w:szCs w:val="24"/>
          <w:highlight w:val="white"/>
        </w:rPr>
      </w:pPr>
      <w:r>
        <w:rPr>
          <w:rFonts w:ascii="Garamond" w:hAnsi="Garamond" w:cs="Garamond"/>
          <w:sz w:val="24"/>
          <w:szCs w:val="24"/>
          <w:highlight w:val="white"/>
        </w:rPr>
        <w:t>Recuperado de</w:t>
      </w:r>
    </w:p>
    <w:p w:rsidR="006E117C" w:rsidRDefault="006E117C">
      <w:pPr>
        <w:pStyle w:val="Normal1"/>
        <w:spacing w:after="0" w:line="360" w:lineRule="auto"/>
        <w:jc w:val="both"/>
        <w:rPr>
          <w:rFonts w:ascii="Garamond" w:hAnsi="Garamond" w:cs="Garamond"/>
          <w:color w:val="1155CC"/>
          <w:sz w:val="24"/>
          <w:szCs w:val="24"/>
          <w:highlight w:val="white"/>
          <w:u w:val="single"/>
        </w:rPr>
      </w:pPr>
      <w:r>
        <w:fldChar w:fldCharType="begin"/>
      </w:r>
      <w:r>
        <w:instrText xml:space="preserve"> HYPERLINK "http://www.austral.edu.ar/ojs/index.php/australcomunicacion/article/view/135" </w:instrText>
      </w:r>
      <w:r>
        <w:fldChar w:fldCharType="separate"/>
      </w:r>
      <w:r>
        <w:rPr>
          <w:rFonts w:ascii="Garamond" w:hAnsi="Garamond" w:cs="Garamond"/>
          <w:color w:val="1155CC"/>
          <w:sz w:val="24"/>
          <w:szCs w:val="24"/>
          <w:highlight w:val="white"/>
          <w:u w:val="single"/>
        </w:rPr>
        <w:t>http://www.austral.edu.ar/ojs/index.php/australcomunicacion/article/view/135</w:t>
      </w:r>
    </w:p>
    <w:p w:rsidR="006E117C" w:rsidRDefault="006E117C">
      <w:pPr>
        <w:pStyle w:val="Normal1"/>
        <w:spacing w:after="0" w:line="360" w:lineRule="auto"/>
        <w:jc w:val="both"/>
        <w:rPr>
          <w:rFonts w:ascii="Garamond" w:hAnsi="Garamond" w:cs="Garamond"/>
          <w:sz w:val="24"/>
          <w:szCs w:val="24"/>
        </w:rPr>
      </w:pPr>
      <w:r>
        <w:fldChar w:fldCharType="end"/>
      </w:r>
      <w:r>
        <w:rPr>
          <w:rFonts w:ascii="Garamond" w:hAnsi="Garamond" w:cs="Garamond"/>
          <w:sz w:val="24"/>
          <w:szCs w:val="24"/>
        </w:rPr>
        <w:t xml:space="preserve">LORETI, Damián y LOZANO, Luis (2014) “El derrotero de los cambios legislativos. El caso argentino”, en Loreti, D. y Lozano, L., </w:t>
      </w:r>
      <w:r>
        <w:rPr>
          <w:rFonts w:ascii="Garamond" w:hAnsi="Garamond" w:cs="Garamond"/>
          <w:i/>
          <w:iCs/>
          <w:sz w:val="24"/>
          <w:szCs w:val="24"/>
        </w:rPr>
        <w:t>El derecho a comunicar</w:t>
      </w:r>
      <w:r>
        <w:rPr>
          <w:rFonts w:ascii="Garamond" w:hAnsi="Garamond" w:cs="Garamond"/>
          <w:sz w:val="24"/>
          <w:szCs w:val="24"/>
        </w:rPr>
        <w:t>, Editorial Siglo Veintiuno, Buenos Aires.</w:t>
      </w:r>
    </w:p>
    <w:p w:rsidR="006E117C" w:rsidRDefault="006E117C">
      <w:pPr>
        <w:pStyle w:val="Normal1"/>
        <w:spacing w:after="0" w:line="360" w:lineRule="auto"/>
        <w:jc w:val="both"/>
        <w:rPr>
          <w:rFonts w:ascii="Garamond" w:hAnsi="Garamond" w:cs="Garamond"/>
          <w:sz w:val="24"/>
          <w:szCs w:val="24"/>
        </w:rPr>
      </w:pPr>
      <w:r>
        <w:rPr>
          <w:rFonts w:ascii="Garamond" w:hAnsi="Garamond" w:cs="Garamond"/>
          <w:sz w:val="24"/>
          <w:szCs w:val="24"/>
        </w:rPr>
        <w:t>Relatoría Especial para la Libertad de Expresión (2010) “Estándares de libertad de expresión para una radiodifusión libre e incluyente”</w:t>
      </w:r>
    </w:p>
    <w:p w:rsidR="006E117C" w:rsidRDefault="006E117C">
      <w:pPr>
        <w:pStyle w:val="Normal1"/>
        <w:spacing w:after="0" w:line="360" w:lineRule="auto"/>
        <w:rPr>
          <w:rFonts w:ascii="Garamond" w:hAnsi="Garamond" w:cs="Garamond"/>
          <w:sz w:val="24"/>
          <w:szCs w:val="24"/>
        </w:rPr>
      </w:pPr>
      <w:r>
        <w:rPr>
          <w:rFonts w:ascii="Garamond" w:hAnsi="Garamond" w:cs="Garamond"/>
          <w:sz w:val="24"/>
          <w:szCs w:val="24"/>
        </w:rPr>
        <w:t>Recuperado de</w:t>
      </w:r>
      <w:hyperlink r:id="rId8">
        <w:r>
          <w:rPr>
            <w:rFonts w:ascii="Garamond" w:hAnsi="Garamond" w:cs="Garamond"/>
            <w:sz w:val="24"/>
            <w:szCs w:val="24"/>
          </w:rPr>
          <w:t xml:space="preserve"> </w:t>
        </w:r>
      </w:hyperlink>
      <w:hyperlink r:id="rId9">
        <w:r>
          <w:rPr>
            <w:rFonts w:ascii="Garamond" w:hAnsi="Garamond" w:cs="Garamond"/>
            <w:color w:val="1155CC"/>
            <w:sz w:val="24"/>
            <w:szCs w:val="24"/>
            <w:u w:val="single"/>
          </w:rPr>
          <w:t>http://www.oas.org/es/cidh/expresion/docs/publicaciones/Radiodifusion%20y%20libertad%20de%20expresion%20FINAL%20PORTADA.pdf</w:t>
        </w:r>
      </w:hyperlink>
    </w:p>
    <w:sectPr w:rsidR="006E117C" w:rsidSect="00A40638">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33" w:rsidRDefault="00792933" w:rsidP="00A40638">
      <w:pPr>
        <w:spacing w:after="0" w:line="240" w:lineRule="auto"/>
      </w:pPr>
      <w:r>
        <w:separator/>
      </w:r>
    </w:p>
  </w:endnote>
  <w:endnote w:type="continuationSeparator" w:id="0">
    <w:p w:rsidR="00792933" w:rsidRDefault="00792933" w:rsidP="00A4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7C" w:rsidRDefault="00484A8C">
    <w:pPr>
      <w:pStyle w:val="Normal1"/>
      <w:jc w:val="right"/>
    </w:pPr>
    <w:r>
      <w:fldChar w:fldCharType="begin"/>
    </w:r>
    <w:r>
      <w:instrText>PAGE</w:instrText>
    </w:r>
    <w:r>
      <w:fldChar w:fldCharType="separate"/>
    </w:r>
    <w:r w:rsidR="00A02F7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33" w:rsidRDefault="00792933" w:rsidP="00A40638">
      <w:pPr>
        <w:spacing w:after="0" w:line="240" w:lineRule="auto"/>
      </w:pPr>
      <w:r>
        <w:separator/>
      </w:r>
    </w:p>
  </w:footnote>
  <w:footnote w:type="continuationSeparator" w:id="0">
    <w:p w:rsidR="00792933" w:rsidRDefault="00792933" w:rsidP="00A40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38"/>
    <w:rsid w:val="0003765D"/>
    <w:rsid w:val="0014119F"/>
    <w:rsid w:val="003521FB"/>
    <w:rsid w:val="004116A6"/>
    <w:rsid w:val="00484A8C"/>
    <w:rsid w:val="005035FC"/>
    <w:rsid w:val="00621073"/>
    <w:rsid w:val="006E117C"/>
    <w:rsid w:val="0070053C"/>
    <w:rsid w:val="00792933"/>
    <w:rsid w:val="008150F4"/>
    <w:rsid w:val="00A02F7D"/>
    <w:rsid w:val="00A40638"/>
    <w:rsid w:val="00BE1193"/>
    <w:rsid w:val="00C411F7"/>
    <w:rsid w:val="00FF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93"/>
    <w:pPr>
      <w:spacing w:after="200" w:line="276" w:lineRule="auto"/>
    </w:pPr>
  </w:style>
  <w:style w:type="paragraph" w:styleId="Ttulo1">
    <w:name w:val="heading 1"/>
    <w:basedOn w:val="Normal1"/>
    <w:next w:val="Normal1"/>
    <w:link w:val="Ttulo1Car"/>
    <w:uiPriority w:val="99"/>
    <w:qFormat/>
    <w:rsid w:val="00A40638"/>
    <w:pPr>
      <w:keepNext/>
      <w:keepLines/>
      <w:spacing w:before="480" w:after="120"/>
      <w:outlineLvl w:val="0"/>
    </w:pPr>
    <w:rPr>
      <w:b/>
      <w:bCs/>
      <w:sz w:val="48"/>
      <w:szCs w:val="48"/>
    </w:rPr>
  </w:style>
  <w:style w:type="paragraph" w:styleId="Ttulo2">
    <w:name w:val="heading 2"/>
    <w:basedOn w:val="Normal1"/>
    <w:next w:val="Normal1"/>
    <w:link w:val="Ttulo2Car"/>
    <w:uiPriority w:val="99"/>
    <w:qFormat/>
    <w:rsid w:val="00A40638"/>
    <w:pPr>
      <w:keepNext/>
      <w:keepLines/>
      <w:spacing w:before="360" w:after="80"/>
      <w:outlineLvl w:val="1"/>
    </w:pPr>
    <w:rPr>
      <w:b/>
      <w:bCs/>
      <w:sz w:val="36"/>
      <w:szCs w:val="36"/>
    </w:rPr>
  </w:style>
  <w:style w:type="paragraph" w:styleId="Ttulo3">
    <w:name w:val="heading 3"/>
    <w:basedOn w:val="Normal1"/>
    <w:next w:val="Normal1"/>
    <w:link w:val="Ttulo3Car"/>
    <w:uiPriority w:val="99"/>
    <w:qFormat/>
    <w:rsid w:val="00A40638"/>
    <w:pPr>
      <w:keepNext/>
      <w:keepLines/>
      <w:spacing w:before="280" w:after="80"/>
      <w:outlineLvl w:val="2"/>
    </w:pPr>
    <w:rPr>
      <w:b/>
      <w:bCs/>
      <w:sz w:val="28"/>
      <w:szCs w:val="28"/>
    </w:rPr>
  </w:style>
  <w:style w:type="paragraph" w:styleId="Ttulo4">
    <w:name w:val="heading 4"/>
    <w:basedOn w:val="Normal1"/>
    <w:next w:val="Normal1"/>
    <w:link w:val="Ttulo4Car"/>
    <w:uiPriority w:val="99"/>
    <w:qFormat/>
    <w:rsid w:val="00A40638"/>
    <w:pPr>
      <w:keepNext/>
      <w:keepLines/>
      <w:spacing w:before="240" w:after="40"/>
      <w:outlineLvl w:val="3"/>
    </w:pPr>
    <w:rPr>
      <w:b/>
      <w:bCs/>
      <w:sz w:val="24"/>
      <w:szCs w:val="24"/>
    </w:rPr>
  </w:style>
  <w:style w:type="paragraph" w:styleId="Ttulo5">
    <w:name w:val="heading 5"/>
    <w:basedOn w:val="Normal1"/>
    <w:next w:val="Normal1"/>
    <w:link w:val="Ttulo5Car"/>
    <w:uiPriority w:val="99"/>
    <w:qFormat/>
    <w:rsid w:val="00A40638"/>
    <w:pPr>
      <w:keepNext/>
      <w:keepLines/>
      <w:spacing w:before="220" w:after="40"/>
      <w:outlineLvl w:val="4"/>
    </w:pPr>
    <w:rPr>
      <w:b/>
      <w:bCs/>
    </w:rPr>
  </w:style>
  <w:style w:type="paragraph" w:styleId="Ttulo6">
    <w:name w:val="heading 6"/>
    <w:basedOn w:val="Normal1"/>
    <w:next w:val="Normal1"/>
    <w:link w:val="Ttulo6Car"/>
    <w:uiPriority w:val="99"/>
    <w:qFormat/>
    <w:rsid w:val="00A40638"/>
    <w:pPr>
      <w:keepNext/>
      <w:keepLines/>
      <w:spacing w:before="200" w:after="4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035FC"/>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5035FC"/>
    <w:rPr>
      <w:rFonts w:ascii="Cambria" w:hAnsi="Cambria" w:cs="Cambria"/>
      <w:b/>
      <w:bCs/>
      <w:i/>
      <w:iCs/>
      <w:sz w:val="28"/>
      <w:szCs w:val="28"/>
    </w:rPr>
  </w:style>
  <w:style w:type="character" w:customStyle="1" w:styleId="Ttulo3Car">
    <w:name w:val="Título 3 Car"/>
    <w:basedOn w:val="Fuentedeprrafopredeter"/>
    <w:link w:val="Ttulo3"/>
    <w:uiPriority w:val="99"/>
    <w:semiHidden/>
    <w:locked/>
    <w:rsid w:val="005035FC"/>
    <w:rPr>
      <w:rFonts w:ascii="Cambria" w:hAnsi="Cambria" w:cs="Cambria"/>
      <w:b/>
      <w:bCs/>
      <w:sz w:val="26"/>
      <w:szCs w:val="26"/>
    </w:rPr>
  </w:style>
  <w:style w:type="character" w:customStyle="1" w:styleId="Ttulo4Car">
    <w:name w:val="Título 4 Car"/>
    <w:basedOn w:val="Fuentedeprrafopredeter"/>
    <w:link w:val="Ttulo4"/>
    <w:uiPriority w:val="99"/>
    <w:semiHidden/>
    <w:locked/>
    <w:rsid w:val="005035FC"/>
    <w:rPr>
      <w:rFonts w:ascii="Calibri" w:hAnsi="Calibri" w:cs="Calibri"/>
      <w:b/>
      <w:bCs/>
      <w:sz w:val="28"/>
      <w:szCs w:val="28"/>
    </w:rPr>
  </w:style>
  <w:style w:type="character" w:customStyle="1" w:styleId="Ttulo5Car">
    <w:name w:val="Título 5 Car"/>
    <w:basedOn w:val="Fuentedeprrafopredeter"/>
    <w:link w:val="Ttulo5"/>
    <w:uiPriority w:val="99"/>
    <w:semiHidden/>
    <w:locked/>
    <w:rsid w:val="005035FC"/>
    <w:rPr>
      <w:rFonts w:ascii="Calibri" w:hAnsi="Calibri" w:cs="Calibri"/>
      <w:b/>
      <w:bCs/>
      <w:i/>
      <w:iCs/>
      <w:sz w:val="26"/>
      <w:szCs w:val="26"/>
    </w:rPr>
  </w:style>
  <w:style w:type="character" w:customStyle="1" w:styleId="Ttulo6Car">
    <w:name w:val="Título 6 Car"/>
    <w:basedOn w:val="Fuentedeprrafopredeter"/>
    <w:link w:val="Ttulo6"/>
    <w:uiPriority w:val="99"/>
    <w:semiHidden/>
    <w:locked/>
    <w:rsid w:val="005035FC"/>
    <w:rPr>
      <w:rFonts w:ascii="Calibri" w:hAnsi="Calibri" w:cs="Calibri"/>
      <w:b/>
      <w:bCs/>
    </w:rPr>
  </w:style>
  <w:style w:type="paragraph" w:customStyle="1" w:styleId="Normal1">
    <w:name w:val="Normal1"/>
    <w:uiPriority w:val="99"/>
    <w:rsid w:val="00A40638"/>
    <w:pPr>
      <w:spacing w:after="200" w:line="276" w:lineRule="auto"/>
    </w:pPr>
  </w:style>
  <w:style w:type="paragraph" w:styleId="Ttulo">
    <w:name w:val="Title"/>
    <w:basedOn w:val="Normal1"/>
    <w:next w:val="Normal1"/>
    <w:link w:val="TtuloCar"/>
    <w:uiPriority w:val="99"/>
    <w:qFormat/>
    <w:rsid w:val="00A40638"/>
    <w:pPr>
      <w:keepNext/>
      <w:keepLines/>
      <w:spacing w:before="480" w:after="120"/>
    </w:pPr>
    <w:rPr>
      <w:b/>
      <w:bCs/>
      <w:sz w:val="72"/>
      <w:szCs w:val="72"/>
    </w:rPr>
  </w:style>
  <w:style w:type="character" w:customStyle="1" w:styleId="TtuloCar">
    <w:name w:val="Título Car"/>
    <w:basedOn w:val="Fuentedeprrafopredeter"/>
    <w:link w:val="Ttulo"/>
    <w:uiPriority w:val="99"/>
    <w:locked/>
    <w:rsid w:val="005035FC"/>
    <w:rPr>
      <w:rFonts w:ascii="Cambria" w:hAnsi="Cambria" w:cs="Cambria"/>
      <w:b/>
      <w:bCs/>
      <w:kern w:val="28"/>
      <w:sz w:val="32"/>
      <w:szCs w:val="32"/>
    </w:rPr>
  </w:style>
  <w:style w:type="paragraph" w:styleId="Subttulo">
    <w:name w:val="Subtitle"/>
    <w:basedOn w:val="Normal1"/>
    <w:next w:val="Normal1"/>
    <w:link w:val="SubttuloCar"/>
    <w:uiPriority w:val="99"/>
    <w:qFormat/>
    <w:rsid w:val="00A40638"/>
    <w:pPr>
      <w:keepNext/>
      <w:keepLines/>
      <w:spacing w:before="360" w:after="80"/>
    </w:pPr>
    <w:rPr>
      <w:rFonts w:ascii="Georgia" w:hAnsi="Georgia" w:cs="Georgia"/>
      <w:i/>
      <w:iCs/>
      <w:color w:val="666666"/>
      <w:sz w:val="48"/>
      <w:szCs w:val="48"/>
    </w:rPr>
  </w:style>
  <w:style w:type="character" w:customStyle="1" w:styleId="SubttuloCar">
    <w:name w:val="Subtítulo Car"/>
    <w:basedOn w:val="Fuentedeprrafopredeter"/>
    <w:link w:val="Subttulo"/>
    <w:uiPriority w:val="99"/>
    <w:locked/>
    <w:rsid w:val="005035FC"/>
    <w:rPr>
      <w:rFonts w:ascii="Cambria" w:hAnsi="Cambria" w:cs="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93"/>
    <w:pPr>
      <w:spacing w:after="200" w:line="276" w:lineRule="auto"/>
    </w:pPr>
  </w:style>
  <w:style w:type="paragraph" w:styleId="Ttulo1">
    <w:name w:val="heading 1"/>
    <w:basedOn w:val="Normal1"/>
    <w:next w:val="Normal1"/>
    <w:link w:val="Ttulo1Car"/>
    <w:uiPriority w:val="99"/>
    <w:qFormat/>
    <w:rsid w:val="00A40638"/>
    <w:pPr>
      <w:keepNext/>
      <w:keepLines/>
      <w:spacing w:before="480" w:after="120"/>
      <w:outlineLvl w:val="0"/>
    </w:pPr>
    <w:rPr>
      <w:b/>
      <w:bCs/>
      <w:sz w:val="48"/>
      <w:szCs w:val="48"/>
    </w:rPr>
  </w:style>
  <w:style w:type="paragraph" w:styleId="Ttulo2">
    <w:name w:val="heading 2"/>
    <w:basedOn w:val="Normal1"/>
    <w:next w:val="Normal1"/>
    <w:link w:val="Ttulo2Car"/>
    <w:uiPriority w:val="99"/>
    <w:qFormat/>
    <w:rsid w:val="00A40638"/>
    <w:pPr>
      <w:keepNext/>
      <w:keepLines/>
      <w:spacing w:before="360" w:after="80"/>
      <w:outlineLvl w:val="1"/>
    </w:pPr>
    <w:rPr>
      <w:b/>
      <w:bCs/>
      <w:sz w:val="36"/>
      <w:szCs w:val="36"/>
    </w:rPr>
  </w:style>
  <w:style w:type="paragraph" w:styleId="Ttulo3">
    <w:name w:val="heading 3"/>
    <w:basedOn w:val="Normal1"/>
    <w:next w:val="Normal1"/>
    <w:link w:val="Ttulo3Car"/>
    <w:uiPriority w:val="99"/>
    <w:qFormat/>
    <w:rsid w:val="00A40638"/>
    <w:pPr>
      <w:keepNext/>
      <w:keepLines/>
      <w:spacing w:before="280" w:after="80"/>
      <w:outlineLvl w:val="2"/>
    </w:pPr>
    <w:rPr>
      <w:b/>
      <w:bCs/>
      <w:sz w:val="28"/>
      <w:szCs w:val="28"/>
    </w:rPr>
  </w:style>
  <w:style w:type="paragraph" w:styleId="Ttulo4">
    <w:name w:val="heading 4"/>
    <w:basedOn w:val="Normal1"/>
    <w:next w:val="Normal1"/>
    <w:link w:val="Ttulo4Car"/>
    <w:uiPriority w:val="99"/>
    <w:qFormat/>
    <w:rsid w:val="00A40638"/>
    <w:pPr>
      <w:keepNext/>
      <w:keepLines/>
      <w:spacing w:before="240" w:after="40"/>
      <w:outlineLvl w:val="3"/>
    </w:pPr>
    <w:rPr>
      <w:b/>
      <w:bCs/>
      <w:sz w:val="24"/>
      <w:szCs w:val="24"/>
    </w:rPr>
  </w:style>
  <w:style w:type="paragraph" w:styleId="Ttulo5">
    <w:name w:val="heading 5"/>
    <w:basedOn w:val="Normal1"/>
    <w:next w:val="Normal1"/>
    <w:link w:val="Ttulo5Car"/>
    <w:uiPriority w:val="99"/>
    <w:qFormat/>
    <w:rsid w:val="00A40638"/>
    <w:pPr>
      <w:keepNext/>
      <w:keepLines/>
      <w:spacing w:before="220" w:after="40"/>
      <w:outlineLvl w:val="4"/>
    </w:pPr>
    <w:rPr>
      <w:b/>
      <w:bCs/>
    </w:rPr>
  </w:style>
  <w:style w:type="paragraph" w:styleId="Ttulo6">
    <w:name w:val="heading 6"/>
    <w:basedOn w:val="Normal1"/>
    <w:next w:val="Normal1"/>
    <w:link w:val="Ttulo6Car"/>
    <w:uiPriority w:val="99"/>
    <w:qFormat/>
    <w:rsid w:val="00A40638"/>
    <w:pPr>
      <w:keepNext/>
      <w:keepLines/>
      <w:spacing w:before="200" w:after="4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035FC"/>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5035FC"/>
    <w:rPr>
      <w:rFonts w:ascii="Cambria" w:hAnsi="Cambria" w:cs="Cambria"/>
      <w:b/>
      <w:bCs/>
      <w:i/>
      <w:iCs/>
      <w:sz w:val="28"/>
      <w:szCs w:val="28"/>
    </w:rPr>
  </w:style>
  <w:style w:type="character" w:customStyle="1" w:styleId="Ttulo3Car">
    <w:name w:val="Título 3 Car"/>
    <w:basedOn w:val="Fuentedeprrafopredeter"/>
    <w:link w:val="Ttulo3"/>
    <w:uiPriority w:val="99"/>
    <w:semiHidden/>
    <w:locked/>
    <w:rsid w:val="005035FC"/>
    <w:rPr>
      <w:rFonts w:ascii="Cambria" w:hAnsi="Cambria" w:cs="Cambria"/>
      <w:b/>
      <w:bCs/>
      <w:sz w:val="26"/>
      <w:szCs w:val="26"/>
    </w:rPr>
  </w:style>
  <w:style w:type="character" w:customStyle="1" w:styleId="Ttulo4Car">
    <w:name w:val="Título 4 Car"/>
    <w:basedOn w:val="Fuentedeprrafopredeter"/>
    <w:link w:val="Ttulo4"/>
    <w:uiPriority w:val="99"/>
    <w:semiHidden/>
    <w:locked/>
    <w:rsid w:val="005035FC"/>
    <w:rPr>
      <w:rFonts w:ascii="Calibri" w:hAnsi="Calibri" w:cs="Calibri"/>
      <w:b/>
      <w:bCs/>
      <w:sz w:val="28"/>
      <w:szCs w:val="28"/>
    </w:rPr>
  </w:style>
  <w:style w:type="character" w:customStyle="1" w:styleId="Ttulo5Car">
    <w:name w:val="Título 5 Car"/>
    <w:basedOn w:val="Fuentedeprrafopredeter"/>
    <w:link w:val="Ttulo5"/>
    <w:uiPriority w:val="99"/>
    <w:semiHidden/>
    <w:locked/>
    <w:rsid w:val="005035FC"/>
    <w:rPr>
      <w:rFonts w:ascii="Calibri" w:hAnsi="Calibri" w:cs="Calibri"/>
      <w:b/>
      <w:bCs/>
      <w:i/>
      <w:iCs/>
      <w:sz w:val="26"/>
      <w:szCs w:val="26"/>
    </w:rPr>
  </w:style>
  <w:style w:type="character" w:customStyle="1" w:styleId="Ttulo6Car">
    <w:name w:val="Título 6 Car"/>
    <w:basedOn w:val="Fuentedeprrafopredeter"/>
    <w:link w:val="Ttulo6"/>
    <w:uiPriority w:val="99"/>
    <w:semiHidden/>
    <w:locked/>
    <w:rsid w:val="005035FC"/>
    <w:rPr>
      <w:rFonts w:ascii="Calibri" w:hAnsi="Calibri" w:cs="Calibri"/>
      <w:b/>
      <w:bCs/>
    </w:rPr>
  </w:style>
  <w:style w:type="paragraph" w:customStyle="1" w:styleId="Normal1">
    <w:name w:val="Normal1"/>
    <w:uiPriority w:val="99"/>
    <w:rsid w:val="00A40638"/>
    <w:pPr>
      <w:spacing w:after="200" w:line="276" w:lineRule="auto"/>
    </w:pPr>
  </w:style>
  <w:style w:type="paragraph" w:styleId="Ttulo">
    <w:name w:val="Title"/>
    <w:basedOn w:val="Normal1"/>
    <w:next w:val="Normal1"/>
    <w:link w:val="TtuloCar"/>
    <w:uiPriority w:val="99"/>
    <w:qFormat/>
    <w:rsid w:val="00A40638"/>
    <w:pPr>
      <w:keepNext/>
      <w:keepLines/>
      <w:spacing w:before="480" w:after="120"/>
    </w:pPr>
    <w:rPr>
      <w:b/>
      <w:bCs/>
      <w:sz w:val="72"/>
      <w:szCs w:val="72"/>
    </w:rPr>
  </w:style>
  <w:style w:type="character" w:customStyle="1" w:styleId="TtuloCar">
    <w:name w:val="Título Car"/>
    <w:basedOn w:val="Fuentedeprrafopredeter"/>
    <w:link w:val="Ttulo"/>
    <w:uiPriority w:val="99"/>
    <w:locked/>
    <w:rsid w:val="005035FC"/>
    <w:rPr>
      <w:rFonts w:ascii="Cambria" w:hAnsi="Cambria" w:cs="Cambria"/>
      <w:b/>
      <w:bCs/>
      <w:kern w:val="28"/>
      <w:sz w:val="32"/>
      <w:szCs w:val="32"/>
    </w:rPr>
  </w:style>
  <w:style w:type="paragraph" w:styleId="Subttulo">
    <w:name w:val="Subtitle"/>
    <w:basedOn w:val="Normal1"/>
    <w:next w:val="Normal1"/>
    <w:link w:val="SubttuloCar"/>
    <w:uiPriority w:val="99"/>
    <w:qFormat/>
    <w:rsid w:val="00A40638"/>
    <w:pPr>
      <w:keepNext/>
      <w:keepLines/>
      <w:spacing w:before="360" w:after="80"/>
    </w:pPr>
    <w:rPr>
      <w:rFonts w:ascii="Georgia" w:hAnsi="Georgia" w:cs="Georgia"/>
      <w:i/>
      <w:iCs/>
      <w:color w:val="666666"/>
      <w:sz w:val="48"/>
      <w:szCs w:val="48"/>
    </w:rPr>
  </w:style>
  <w:style w:type="character" w:customStyle="1" w:styleId="SubttuloCar">
    <w:name w:val="Subtítulo Car"/>
    <w:basedOn w:val="Fuentedeprrafopredeter"/>
    <w:link w:val="Subttulo"/>
    <w:uiPriority w:val="99"/>
    <w:locked/>
    <w:rsid w:val="005035FC"/>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expresion/docs/publicaciones/Radiodifusion%20y%20libertad%20de%20expresion%20FINAL%20PORTADA.pdf" TargetMode="External"/><Relationship Id="rId3" Type="http://schemas.openxmlformats.org/officeDocument/2006/relationships/settings" Target="settings.xml"/><Relationship Id="rId7" Type="http://schemas.openxmlformats.org/officeDocument/2006/relationships/hyperlink" Target="http://www.pensamientopenal.com.ar/system/files/2014/12/doctrina36367.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as.org/es/cidh/expresion/docs/publicaciones/Radiodifusion%20y%20libertad%20de%20expresion%20FINAL%20PORT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8075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Universidad de Buenos Aires</vt:lpstr>
    </vt:vector>
  </TitlesOfParts>
  <Company>.</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creator>Wanda Fraiman</dc:creator>
  <cp:lastModifiedBy>SOLEDAD NOVELLE</cp:lastModifiedBy>
  <cp:revision>2</cp:revision>
  <dcterms:created xsi:type="dcterms:W3CDTF">2019-03-15T12:12:00Z</dcterms:created>
  <dcterms:modified xsi:type="dcterms:W3CDTF">2019-03-15T12:12:00Z</dcterms:modified>
</cp:coreProperties>
</file>