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4A45C" w14:textId="77777777" w:rsidR="0014329C" w:rsidRDefault="00347869">
      <w:pPr>
        <w:spacing w:after="28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PROGRAMA DE ACTUALIZACIÓN EN DERECHOS DE LA NIÑEZ Y LA ADOLESCENCIA EN CONTEXTOS SOCIALES, POLÍTICOS Y CULTURALES </w:t>
      </w:r>
    </w:p>
    <w:p w14:paraId="491238AF" w14:textId="77777777" w:rsidR="00B44FDF" w:rsidRDefault="00347869" w:rsidP="00B44F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LA FACULTAD DE CIENCIAS SOCIALES DE LA UNIVERSIDAD DE BUENOS AIRES</w:t>
      </w:r>
    </w:p>
    <w:p w14:paraId="5B15748E" w14:textId="77777777" w:rsidR="00B44FDF" w:rsidRDefault="00347869" w:rsidP="00B44F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UNICEF ARGENTINA</w:t>
      </w:r>
    </w:p>
    <w:p w14:paraId="61254366" w14:textId="77777777" w:rsidR="0014329C" w:rsidRDefault="00347869" w:rsidP="00B44FD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NACIONAL DE INVESTIGACIONES HISTÓRICAS EVA PERÓN- MUSEO EVITA.</w:t>
      </w:r>
    </w:p>
    <w:p w14:paraId="6D979BC2" w14:textId="77777777" w:rsidR="0014329C" w:rsidRDefault="00347869">
      <w:pPr>
        <w:spacing w:before="280" w:after="28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DURACIÓN: 128 HORAS 8 de mayo al 11 de diciembre de 2019. </w:t>
      </w:r>
    </w:p>
    <w:p w14:paraId="6C3F5D68" w14:textId="77777777" w:rsidR="0014329C" w:rsidRDefault="00347869">
      <w:pPr>
        <w:spacing w:before="280" w:after="28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Cursada presencial:</w:t>
      </w:r>
      <w:r>
        <w:rPr>
          <w:b/>
          <w:sz w:val="24"/>
          <w:szCs w:val="24"/>
        </w:rPr>
        <w:t xml:space="preserve"> miércoles 17.30 a 21 horas.</w:t>
      </w:r>
    </w:p>
    <w:p w14:paraId="55EF4967" w14:textId="77777777" w:rsidR="0014329C" w:rsidRDefault="00347869">
      <w:pPr>
        <w:spacing w:before="280" w:after="28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Lugar: Auditorio INIHEP- Museo Evita Lafinur 2988 (CABA) </w:t>
      </w:r>
    </w:p>
    <w:p w14:paraId="57DFE08A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Directora</w:t>
      </w:r>
      <w:r>
        <w:rPr>
          <w:sz w:val="24"/>
          <w:szCs w:val="24"/>
        </w:rPr>
        <w:t xml:space="preserve">: Marisa Graham </w:t>
      </w:r>
    </w:p>
    <w:p w14:paraId="42B5EC18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Coordinador Académico:</w:t>
      </w:r>
      <w:r>
        <w:rPr>
          <w:sz w:val="24"/>
          <w:szCs w:val="24"/>
        </w:rPr>
        <w:t xml:space="preserve"> Adrián </w:t>
      </w:r>
      <w:proofErr w:type="spellStart"/>
      <w:r>
        <w:rPr>
          <w:sz w:val="24"/>
          <w:szCs w:val="24"/>
        </w:rPr>
        <w:t>Rozengardt</w:t>
      </w:r>
      <w:proofErr w:type="spellEnd"/>
      <w:r>
        <w:rPr>
          <w:sz w:val="24"/>
          <w:szCs w:val="24"/>
        </w:rPr>
        <w:t xml:space="preserve"> </w:t>
      </w:r>
    </w:p>
    <w:p w14:paraId="582F2604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Equipo Docente: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Arrausi</w:t>
      </w:r>
      <w:proofErr w:type="spellEnd"/>
      <w:r>
        <w:rPr>
          <w:sz w:val="24"/>
          <w:szCs w:val="24"/>
        </w:rPr>
        <w:t xml:space="preserve">, Lidia- Barna, Agustín- </w:t>
      </w:r>
      <w:proofErr w:type="spellStart"/>
      <w:r>
        <w:rPr>
          <w:sz w:val="24"/>
          <w:szCs w:val="24"/>
        </w:rPr>
        <w:t>Benza</w:t>
      </w:r>
      <w:proofErr w:type="spellEnd"/>
      <w:r>
        <w:rPr>
          <w:sz w:val="24"/>
          <w:szCs w:val="24"/>
        </w:rPr>
        <w:t xml:space="preserve">, Gabriela- </w:t>
      </w:r>
      <w:proofErr w:type="spellStart"/>
      <w:r>
        <w:rPr>
          <w:sz w:val="24"/>
          <w:szCs w:val="24"/>
        </w:rPr>
        <w:t>Bidese</w:t>
      </w:r>
      <w:proofErr w:type="spellEnd"/>
      <w:r>
        <w:rPr>
          <w:sz w:val="24"/>
          <w:szCs w:val="24"/>
        </w:rPr>
        <w:t xml:space="preserve">, Milton- </w:t>
      </w:r>
      <w:proofErr w:type="spellStart"/>
      <w:r>
        <w:rPr>
          <w:sz w:val="24"/>
          <w:szCs w:val="24"/>
        </w:rPr>
        <w:t>Bonatto</w:t>
      </w:r>
      <w:proofErr w:type="spellEnd"/>
      <w:r>
        <w:rPr>
          <w:sz w:val="24"/>
          <w:szCs w:val="24"/>
        </w:rPr>
        <w:t>, Gloria- Car</w:t>
      </w:r>
      <w:r>
        <w:rPr>
          <w:sz w:val="24"/>
          <w:szCs w:val="24"/>
        </w:rPr>
        <w:t xml:space="preserve">bajal, Mariana- Di Leo, Pablo- </w:t>
      </w:r>
      <w:proofErr w:type="spellStart"/>
      <w:r>
        <w:rPr>
          <w:sz w:val="24"/>
          <w:szCs w:val="24"/>
        </w:rPr>
        <w:t>Elias</w:t>
      </w:r>
      <w:proofErr w:type="spellEnd"/>
      <w:r>
        <w:rPr>
          <w:sz w:val="24"/>
          <w:szCs w:val="24"/>
        </w:rPr>
        <w:t xml:space="preserve">, Felicitas- Edith, Fuentes- </w:t>
      </w:r>
      <w:proofErr w:type="spellStart"/>
      <w:r>
        <w:rPr>
          <w:sz w:val="24"/>
          <w:szCs w:val="24"/>
        </w:rPr>
        <w:t>Fainbom</w:t>
      </w:r>
      <w:proofErr w:type="spellEnd"/>
      <w:r>
        <w:rPr>
          <w:sz w:val="24"/>
          <w:szCs w:val="24"/>
        </w:rPr>
        <w:t xml:space="preserve">, Lucía- </w:t>
      </w:r>
      <w:proofErr w:type="spellStart"/>
      <w:r>
        <w:rPr>
          <w:sz w:val="24"/>
          <w:szCs w:val="24"/>
        </w:rPr>
        <w:t>Fajn</w:t>
      </w:r>
      <w:proofErr w:type="spellEnd"/>
      <w:r>
        <w:rPr>
          <w:sz w:val="24"/>
          <w:szCs w:val="24"/>
        </w:rPr>
        <w:t xml:space="preserve">, Sergio- </w:t>
      </w:r>
      <w:proofErr w:type="spellStart"/>
      <w:r>
        <w:rPr>
          <w:sz w:val="24"/>
          <w:szCs w:val="24"/>
        </w:rPr>
        <w:t>Gentilli</w:t>
      </w:r>
      <w:proofErr w:type="spellEnd"/>
      <w:r>
        <w:rPr>
          <w:sz w:val="24"/>
          <w:szCs w:val="24"/>
        </w:rPr>
        <w:t xml:space="preserve">, Florencia- Graham, Marisa- </w:t>
      </w:r>
      <w:proofErr w:type="spellStart"/>
      <w:r>
        <w:rPr>
          <w:sz w:val="24"/>
          <w:szCs w:val="24"/>
        </w:rPr>
        <w:t>Guemureman</w:t>
      </w:r>
      <w:proofErr w:type="spellEnd"/>
      <w:r>
        <w:rPr>
          <w:sz w:val="24"/>
          <w:szCs w:val="24"/>
        </w:rPr>
        <w:t xml:space="preserve">, Silvia- Kessler, Gabriel- Muñoz, Damián- </w:t>
      </w:r>
      <w:proofErr w:type="spellStart"/>
      <w:r>
        <w:rPr>
          <w:sz w:val="24"/>
          <w:szCs w:val="24"/>
        </w:rPr>
        <w:t>Rozengardt</w:t>
      </w:r>
      <w:proofErr w:type="spellEnd"/>
      <w:r>
        <w:rPr>
          <w:sz w:val="24"/>
          <w:szCs w:val="24"/>
        </w:rPr>
        <w:t xml:space="preserve">, Adrián- Sardá, Laura- </w:t>
      </w:r>
      <w:proofErr w:type="spellStart"/>
      <w:r>
        <w:rPr>
          <w:sz w:val="24"/>
          <w:szCs w:val="24"/>
        </w:rPr>
        <w:t>Teubal</w:t>
      </w:r>
      <w:proofErr w:type="spellEnd"/>
      <w:r>
        <w:rPr>
          <w:sz w:val="24"/>
          <w:szCs w:val="24"/>
        </w:rPr>
        <w:t xml:space="preserve">, Ruth- Vázquez, Melina- </w:t>
      </w:r>
      <w:proofErr w:type="spellStart"/>
      <w:r>
        <w:rPr>
          <w:sz w:val="24"/>
          <w:szCs w:val="24"/>
        </w:rPr>
        <w:t>Waisgr</w:t>
      </w:r>
      <w:r>
        <w:rPr>
          <w:sz w:val="24"/>
          <w:szCs w:val="24"/>
        </w:rPr>
        <w:t>ais</w:t>
      </w:r>
      <w:proofErr w:type="spellEnd"/>
      <w:r>
        <w:rPr>
          <w:sz w:val="24"/>
          <w:szCs w:val="24"/>
        </w:rPr>
        <w:t>, Sebastián.</w:t>
      </w:r>
    </w:p>
    <w:p w14:paraId="23D2445E" w14:textId="77777777" w:rsidR="0014329C" w:rsidRDefault="0014329C">
      <w:pPr>
        <w:spacing w:before="280" w:after="280" w:line="360" w:lineRule="auto"/>
        <w:jc w:val="both"/>
        <w:rPr>
          <w:sz w:val="24"/>
          <w:szCs w:val="24"/>
        </w:rPr>
      </w:pPr>
    </w:p>
    <w:p w14:paraId="5495869D" w14:textId="77777777" w:rsidR="0014329C" w:rsidRDefault="0014329C">
      <w:pPr>
        <w:spacing w:before="280" w:after="280" w:line="360" w:lineRule="auto"/>
        <w:jc w:val="both"/>
        <w:rPr>
          <w:b/>
          <w:sz w:val="24"/>
          <w:szCs w:val="24"/>
        </w:rPr>
      </w:pPr>
    </w:p>
    <w:p w14:paraId="075A2548" w14:textId="77777777" w:rsidR="0014329C" w:rsidRDefault="0014329C">
      <w:pPr>
        <w:spacing w:before="280" w:after="280" w:line="360" w:lineRule="auto"/>
        <w:jc w:val="both"/>
        <w:rPr>
          <w:b/>
          <w:sz w:val="24"/>
          <w:szCs w:val="24"/>
        </w:rPr>
      </w:pPr>
    </w:p>
    <w:p w14:paraId="2854F261" w14:textId="77777777" w:rsidR="0014329C" w:rsidRDefault="0014329C">
      <w:pPr>
        <w:spacing w:before="280" w:after="280" w:line="360" w:lineRule="auto"/>
        <w:jc w:val="both"/>
        <w:rPr>
          <w:b/>
          <w:sz w:val="24"/>
          <w:szCs w:val="24"/>
        </w:rPr>
      </w:pPr>
    </w:p>
    <w:p w14:paraId="5DE3480E" w14:textId="77777777" w:rsidR="0014329C" w:rsidRDefault="0014329C">
      <w:pPr>
        <w:spacing w:before="280" w:after="280" w:line="360" w:lineRule="auto"/>
        <w:jc w:val="both"/>
        <w:rPr>
          <w:b/>
          <w:sz w:val="24"/>
          <w:szCs w:val="24"/>
        </w:rPr>
      </w:pPr>
    </w:p>
    <w:p w14:paraId="73503299" w14:textId="77777777" w:rsidR="0014329C" w:rsidRDefault="0014329C">
      <w:pPr>
        <w:spacing w:before="280" w:after="280" w:line="360" w:lineRule="auto"/>
        <w:jc w:val="both"/>
        <w:rPr>
          <w:b/>
          <w:sz w:val="24"/>
          <w:szCs w:val="24"/>
        </w:rPr>
      </w:pPr>
    </w:p>
    <w:p w14:paraId="66B21EE7" w14:textId="77777777" w:rsidR="0014329C" w:rsidRDefault="00347869">
      <w:pPr>
        <w:pStyle w:val="Ttulo1"/>
      </w:pPr>
      <w:r>
        <w:t xml:space="preserve">FUNDAMENTACIÓN </w:t>
      </w:r>
    </w:p>
    <w:p w14:paraId="5A585F8E" w14:textId="77777777" w:rsidR="0014329C" w:rsidRDefault="0014329C"/>
    <w:p w14:paraId="0B56AA0C" w14:textId="77777777" w:rsidR="0014329C" w:rsidRDefault="00347869">
      <w:pPr>
        <w:pStyle w:val="Ttulo2"/>
      </w:pPr>
      <w:r>
        <w:t>Propuesta académica</w:t>
      </w:r>
    </w:p>
    <w:p w14:paraId="16C65193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programa de actualización resulta la </w:t>
      </w:r>
      <w:proofErr w:type="gramStart"/>
      <w:r>
        <w:rPr>
          <w:sz w:val="24"/>
          <w:szCs w:val="24"/>
        </w:rPr>
        <w:t>tercer cohorte</w:t>
      </w:r>
      <w:proofErr w:type="gramEnd"/>
      <w:r>
        <w:rPr>
          <w:sz w:val="24"/>
          <w:szCs w:val="24"/>
        </w:rPr>
        <w:t xml:space="preserve"> de una experiencia que comenzó en el año del 2017 y continuó en el 2018, donde completaron la cursada 168 alumnas y alumnos, a partir</w:t>
      </w:r>
      <w:r>
        <w:rPr>
          <w:sz w:val="24"/>
          <w:szCs w:val="24"/>
        </w:rPr>
        <w:t xml:space="preserve"> de un convenio entre el Instituto Nacional de Investigaciones Históricas Eva Perón, UNICEF Argentina y la Facultad de Ciencias Sociales de la Universidad de Buenos Aires.</w:t>
      </w:r>
    </w:p>
    <w:p w14:paraId="51342541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actualización se propone compartir un enfoque holístico y superador de la vieja a</w:t>
      </w:r>
      <w:r>
        <w:rPr>
          <w:sz w:val="24"/>
          <w:szCs w:val="24"/>
        </w:rPr>
        <w:t>ntinomia entre los paradigmas de la situación irregular y la protección integral de derechos.</w:t>
      </w:r>
    </w:p>
    <w:p w14:paraId="588618EF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nuestra intención que esta carrera permite diálogos, preguntas y perspectivas ancladas en los nuevos contextos y debates vinculados a las infancias y la adoles</w:t>
      </w:r>
      <w:r>
        <w:rPr>
          <w:sz w:val="24"/>
          <w:szCs w:val="24"/>
        </w:rPr>
        <w:t>cencia en nuestro país y en América Latina.</w:t>
      </w:r>
    </w:p>
    <w:p w14:paraId="2B777F5D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Intercambio y circulación de saberes que permitan poner en cuestión tanto algunos de los nuevos desafíos académicos</w:t>
      </w:r>
      <w:r>
        <w:rPr>
          <w:sz w:val="24"/>
          <w:szCs w:val="24"/>
        </w:rPr>
        <w:t xml:space="preserve"> como las estrategias para el diseño, la gestión y la evaluación de las </w:t>
      </w:r>
      <w:r>
        <w:rPr>
          <w:sz w:val="24"/>
          <w:szCs w:val="24"/>
        </w:rPr>
        <w:t xml:space="preserve">políticas públicas. </w:t>
      </w:r>
    </w:p>
    <w:p w14:paraId="225DD3E6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</w:t>
      </w:r>
      <w:r>
        <w:rPr>
          <w:sz w:val="24"/>
          <w:szCs w:val="24"/>
        </w:rPr>
        <w:t xml:space="preserve"> contexto social y político que resulta del avance de las políticas restrictivas en materia de derechos y de las políticas de bienestar de la niñez y la adolescencia presentan un desafío epistemológico novedoso. Hasta comienzos del siglo XXI la lucha por e</w:t>
      </w:r>
      <w:r>
        <w:rPr>
          <w:sz w:val="24"/>
          <w:szCs w:val="24"/>
        </w:rPr>
        <w:t>l reconocimiento de los derechos de las niñas y los niños y adolescentes se convirtió en el eje ordenador y de disputa entre los diferentes modelos de intervención, mutando de una mirada focalizada a una perspectiva de derechos. A comienzos del siglo XXI l</w:t>
      </w:r>
      <w:r>
        <w:rPr>
          <w:sz w:val="24"/>
          <w:szCs w:val="24"/>
        </w:rPr>
        <w:t>a preocupación en el campo de la niñez se centró en el esfuerzo por generar estructuras, instituciones y políticas que pusieran en práctica los nuevos conceptos acuñados a partir de la aprobación de la CDN. En tiempos donde los avances de los derechos huma</w:t>
      </w:r>
      <w:r>
        <w:rPr>
          <w:sz w:val="24"/>
          <w:szCs w:val="24"/>
        </w:rPr>
        <w:t xml:space="preserve">nos individuales y colectivos chocan permanentemente con períodos de crisis económicas y del incremento de la desigualdad. El continente y nuestro país, también, fue interpelado por la revalorización del rol del Estado en la distribución de los ingresos y </w:t>
      </w:r>
      <w:r>
        <w:rPr>
          <w:sz w:val="24"/>
          <w:szCs w:val="24"/>
        </w:rPr>
        <w:t xml:space="preserve">como garante del acceso a la satisfacción a sus derechos de millones y millones de niñas y niños. </w:t>
      </w:r>
    </w:p>
    <w:p w14:paraId="0496F27A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Sin haber cerrado esos debates, y sin haber podido consolidar un corpus de experiencias que dieran forma a, por ejemplo, un sistema de protección de derechos</w:t>
      </w:r>
      <w:r>
        <w:rPr>
          <w:sz w:val="24"/>
          <w:szCs w:val="24"/>
        </w:rPr>
        <w:t xml:space="preserve"> consolidado que pudiera soportar el nuevo ciclo de políticas de ajuste y corrimiento estatal, estos tiempos convocan a nuevos intercambios y nuevos diálogos.</w:t>
      </w:r>
    </w:p>
    <w:p w14:paraId="2DE0F695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carrera pretende formar profesionales que en los distintos niveles del Estado y las organizaci</w:t>
      </w:r>
      <w:r>
        <w:rPr>
          <w:sz w:val="24"/>
          <w:szCs w:val="24"/>
        </w:rPr>
        <w:t>ones sociales y ámbitos académicos requieren para llevar a cabo un</w:t>
      </w:r>
      <w:r>
        <w:rPr>
          <w:sz w:val="24"/>
          <w:szCs w:val="24"/>
        </w:rPr>
        <w:t xml:space="preserve"> proceso de transformación y efectiva traducción de las normas a la </w:t>
      </w:r>
      <w:proofErr w:type="spellStart"/>
      <w:r>
        <w:rPr>
          <w:sz w:val="24"/>
          <w:szCs w:val="24"/>
        </w:rPr>
        <w:t>efectivización</w:t>
      </w:r>
      <w:proofErr w:type="spellEnd"/>
      <w:r>
        <w:rPr>
          <w:sz w:val="24"/>
          <w:szCs w:val="24"/>
        </w:rPr>
        <w:t xml:space="preserve"> de los derechos. </w:t>
      </w:r>
    </w:p>
    <w:p w14:paraId="2A6077D0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tal fin se considera imprescindible promover la formación y capacitación de especia</w:t>
      </w:r>
      <w:r>
        <w:rPr>
          <w:sz w:val="24"/>
          <w:szCs w:val="24"/>
        </w:rPr>
        <w:t>listas que puedan enfrentar con éxito los retos y dificultades en el cumplimiento de sus funciones.</w:t>
      </w:r>
    </w:p>
    <w:p w14:paraId="51E13D8E" w14:textId="77777777" w:rsidR="0014329C" w:rsidRDefault="00347869">
      <w:pPr>
        <w:spacing w:before="280" w:after="28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Este espacio de formación, capacitación, debate y reflexión pretende, por un lado, dotar de un corpus teórico que les permita a los participantes sostener s</w:t>
      </w:r>
      <w:r>
        <w:rPr>
          <w:sz w:val="24"/>
          <w:szCs w:val="24"/>
        </w:rPr>
        <w:t>us buenas prácticas y, por el otro, ofrecer un tiempo alejado de la actividad cotidiana que permita revisar creencias, mitos, supuestos, prejuicios y saberes.</w:t>
      </w:r>
    </w:p>
    <w:p w14:paraId="49034601" w14:textId="77777777" w:rsidR="0014329C" w:rsidRDefault="00347869">
      <w:pPr>
        <w:pStyle w:val="Ttulo2"/>
      </w:pPr>
      <w:r>
        <w:t>Destinatarios</w:t>
      </w:r>
    </w:p>
    <w:p w14:paraId="1DA170E7" w14:textId="77777777" w:rsidR="0014329C" w:rsidRDefault="00347869">
      <w:pPr>
        <w:numPr>
          <w:ilvl w:val="0"/>
          <w:numId w:val="6"/>
        </w:numPr>
        <w:spacing w:before="280" w:after="0" w:line="36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Profesionales de los ámbitos públicos que cuenten con título de grado.</w:t>
      </w:r>
    </w:p>
    <w:p w14:paraId="55750DE8" w14:textId="77777777" w:rsidR="0014329C" w:rsidRDefault="00347869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Graduados y estudiantes avanzados de nivel universitario y terciario del campo de las ciencias sociales, humanas y afines.</w:t>
      </w:r>
    </w:p>
    <w:p w14:paraId="06A35BC5" w14:textId="77777777" w:rsidR="0014329C" w:rsidRDefault="00347869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Docentes de todos los niveles educativos interesados en especi</w:t>
      </w:r>
      <w:r>
        <w:rPr>
          <w:sz w:val="24"/>
          <w:szCs w:val="24"/>
        </w:rPr>
        <w:t>alizar su formación y/o práctica de intervención y enseñanza en los campos de inscripción del programa de actualización.</w:t>
      </w:r>
    </w:p>
    <w:p w14:paraId="440449EA" w14:textId="77777777" w:rsidR="0014329C" w:rsidRDefault="00347869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Integrantes de organizaciones de derechos humanos, juveniles, artísticos, sindicales, de base territorial, fundaciones y asociaciones c</w:t>
      </w:r>
      <w:r>
        <w:rPr>
          <w:sz w:val="24"/>
          <w:szCs w:val="24"/>
        </w:rPr>
        <w:t>iviles.</w:t>
      </w:r>
    </w:p>
    <w:p w14:paraId="73947C6F" w14:textId="77777777" w:rsidR="0014329C" w:rsidRDefault="00347869">
      <w:pPr>
        <w:numPr>
          <w:ilvl w:val="0"/>
          <w:numId w:val="6"/>
        </w:numPr>
        <w:spacing w:after="28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Asesores, planificadores, funcionarios de organismos estatales, programas y políticas públicas a nivel nacional, provincial, municipal y local.</w:t>
      </w:r>
    </w:p>
    <w:p w14:paraId="227693C7" w14:textId="77777777" w:rsidR="0014329C" w:rsidRDefault="00347869">
      <w:pPr>
        <w:pStyle w:val="Ttulo2"/>
      </w:pPr>
      <w:r>
        <w:t>Objetivos</w:t>
      </w:r>
    </w:p>
    <w:p w14:paraId="3A101109" w14:textId="77777777" w:rsidR="0014329C" w:rsidRDefault="00347869">
      <w:pPr>
        <w:numPr>
          <w:ilvl w:val="0"/>
          <w:numId w:val="7"/>
        </w:numPr>
        <w:spacing w:before="280"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Promover el intercambio y el diálogo sobre los principales desafíos que plantea, en la actuali</w:t>
      </w:r>
      <w:r>
        <w:rPr>
          <w:sz w:val="24"/>
          <w:szCs w:val="24"/>
        </w:rPr>
        <w:t>dad, el campo de las políticas públicas destinadas a la niñez y la adolescencia.</w:t>
      </w:r>
    </w:p>
    <w:p w14:paraId="156A54A6" w14:textId="77777777" w:rsidR="0014329C" w:rsidRDefault="00347869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Poner en debate cuestiones teóricas y saberes surgidos de la experiencia en la aplicación de las políticas públicas, basadas en un marco epistemológico que sostiene a niñas, n</w:t>
      </w:r>
      <w:r>
        <w:rPr>
          <w:sz w:val="24"/>
          <w:szCs w:val="24"/>
        </w:rPr>
        <w:t>iños y adolescentes como sujetos de derechos, de modo de lograr la revisión de las representaciones sociales que se reproducen en la sociedad sobre los niños, niñas y adolescentes.</w:t>
      </w:r>
    </w:p>
    <w:p w14:paraId="2B3E17A2" w14:textId="77777777" w:rsidR="0014329C" w:rsidRDefault="00347869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Realizar una reflexión profunda sobre modelos de intervención desde las pol</w:t>
      </w:r>
      <w:r>
        <w:rPr>
          <w:sz w:val="24"/>
          <w:szCs w:val="24"/>
        </w:rPr>
        <w:t>íticas públicas, con el objeto de remover los obstáculos que aún se evidencian en el ejercicio pleno de derechos.</w:t>
      </w:r>
    </w:p>
    <w:p w14:paraId="081D6597" w14:textId="77777777" w:rsidR="0014329C" w:rsidRDefault="00347869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Brindar herramientas eficaces de gestión y evaluación, articulación y </w:t>
      </w:r>
      <w:proofErr w:type="gramStart"/>
      <w:r>
        <w:rPr>
          <w:sz w:val="24"/>
          <w:szCs w:val="24"/>
        </w:rPr>
        <w:t>coordinación  de</w:t>
      </w:r>
      <w:proofErr w:type="gramEnd"/>
      <w:r>
        <w:rPr>
          <w:sz w:val="24"/>
          <w:szCs w:val="24"/>
        </w:rPr>
        <w:t xml:space="preserve"> acciones, programas y dispositivos referidos a la niñez</w:t>
      </w:r>
      <w:r>
        <w:rPr>
          <w:sz w:val="24"/>
          <w:szCs w:val="24"/>
        </w:rPr>
        <w:t xml:space="preserve">. </w:t>
      </w:r>
    </w:p>
    <w:p w14:paraId="6ACF0D1F" w14:textId="77777777" w:rsidR="0014329C" w:rsidRDefault="00347869">
      <w:pPr>
        <w:numPr>
          <w:ilvl w:val="0"/>
          <w:numId w:val="7"/>
        </w:numPr>
        <w:spacing w:after="280" w:line="360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Constitución de redes intersectoriales locales para garantizar los derechos de los niños, niñas y adolescentes. </w:t>
      </w:r>
    </w:p>
    <w:p w14:paraId="2437521A" w14:textId="77777777" w:rsidR="0014329C" w:rsidRDefault="00347869">
      <w:pPr>
        <w:pStyle w:val="Ttulo2"/>
      </w:pPr>
      <w:r>
        <w:t>Duración</w:t>
      </w:r>
    </w:p>
    <w:p w14:paraId="79558263" w14:textId="77777777" w:rsidR="0014329C" w:rsidRDefault="00347869">
      <w:pPr>
        <w:spacing w:before="280" w:after="28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La carrera se dictará todos los miércoles del año 2019, a partir del 8 de mayo, sumando un total de 128 horas de carga horaria en la sede del auditorio del Museo Evita. </w:t>
      </w:r>
    </w:p>
    <w:p w14:paraId="60781316" w14:textId="77777777" w:rsidR="0014329C" w:rsidRDefault="00347869">
      <w:pPr>
        <w:spacing w:before="280" w:after="280" w:line="360" w:lineRule="auto"/>
        <w:jc w:val="both"/>
        <w:rPr>
          <w:b/>
          <w:color w:val="212121"/>
          <w:sz w:val="28"/>
          <w:szCs w:val="28"/>
        </w:rPr>
      </w:pPr>
      <w:r>
        <w:rPr>
          <w:b/>
          <w:sz w:val="28"/>
          <w:szCs w:val="28"/>
        </w:rPr>
        <w:t>PLAN DE ESTUDIO</w:t>
      </w:r>
    </w:p>
    <w:p w14:paraId="79812E65" w14:textId="77777777" w:rsidR="0014329C" w:rsidRDefault="00347869">
      <w:pPr>
        <w:shd w:val="clear" w:color="auto" w:fill="FFFFFF"/>
        <w:spacing w:before="280" w:after="280" w:line="360" w:lineRule="auto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Unidad 1: La niñez y la adolescencia en contexto cultural, histórico y político.</w:t>
      </w:r>
    </w:p>
    <w:p w14:paraId="6BDDDF1C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Docentes:  </w:t>
      </w:r>
    </w:p>
    <w:p w14:paraId="39C53048" w14:textId="77777777" w:rsidR="0014329C" w:rsidRDefault="003478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Silvia </w:t>
      </w:r>
      <w:proofErr w:type="spellStart"/>
      <w:r>
        <w:rPr>
          <w:color w:val="000000"/>
          <w:sz w:val="24"/>
          <w:szCs w:val="24"/>
        </w:rPr>
        <w:t>Guemureman</w:t>
      </w:r>
      <w:proofErr w:type="spellEnd"/>
      <w:r>
        <w:rPr>
          <w:color w:val="000000"/>
          <w:sz w:val="24"/>
          <w:szCs w:val="24"/>
        </w:rPr>
        <w:t xml:space="preserve"> (a confirmar). Dos clases. Niños y adolescentes como sujeto histórico, social y político.</w:t>
      </w:r>
    </w:p>
    <w:p w14:paraId="5CD9FE6A" w14:textId="77777777" w:rsidR="0014329C" w:rsidRDefault="003478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Gabriel Kessler. Una clase.: La niñez y la adolescencia</w:t>
      </w:r>
      <w:r>
        <w:rPr>
          <w:color w:val="000000"/>
          <w:sz w:val="24"/>
          <w:szCs w:val="24"/>
        </w:rPr>
        <w:t xml:space="preserve"> como esfera de la desigualdad. </w:t>
      </w:r>
    </w:p>
    <w:p w14:paraId="3202148E" w14:textId="77777777" w:rsidR="0014329C" w:rsidRDefault="0034786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Gabriela </w:t>
      </w:r>
      <w:proofErr w:type="spellStart"/>
      <w:r>
        <w:rPr>
          <w:color w:val="000000"/>
          <w:sz w:val="24"/>
          <w:szCs w:val="24"/>
        </w:rPr>
        <w:t>Benza</w:t>
      </w:r>
      <w:proofErr w:type="spellEnd"/>
      <w:r>
        <w:rPr>
          <w:color w:val="000000"/>
          <w:sz w:val="24"/>
          <w:szCs w:val="24"/>
        </w:rPr>
        <w:t xml:space="preserve">. Una clase. Demografía de la niñez, la adolescencia y la familia. </w:t>
      </w:r>
    </w:p>
    <w:p w14:paraId="14DB6295" w14:textId="77777777" w:rsidR="0014329C" w:rsidRDefault="00347869">
      <w:pPr>
        <w:shd w:val="clear" w:color="auto" w:fill="FFFFFF"/>
        <w:spacing w:before="280" w:after="280" w:line="240" w:lineRule="auto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Unidad 2: La investigación social como aporte a la política pública. Una mirada de abajo</w:t>
      </w:r>
    </w:p>
    <w:p w14:paraId="3F619D2F" w14:textId="77777777" w:rsidR="0014329C" w:rsidRDefault="00347869">
      <w:pPr>
        <w:shd w:val="clear" w:color="auto" w:fill="FFFFFF"/>
        <w:spacing w:before="280" w:after="280" w:line="240" w:lineRule="auto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</w:rPr>
        <w:t>hacia arriba.</w:t>
      </w:r>
    </w:p>
    <w:p w14:paraId="1ED7F09D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Docente: Agustín Barna (dos clases).</w:t>
      </w:r>
    </w:p>
    <w:p w14:paraId="5D367706" w14:textId="77777777" w:rsidR="0014329C" w:rsidRDefault="003478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Repensar las intervenciones sobre las infancias y sus familias desde la mirada etnográfica.</w:t>
      </w:r>
      <w:r>
        <w:rPr>
          <w:color w:val="000000"/>
        </w:rPr>
        <w:t xml:space="preserve"> </w:t>
      </w:r>
    </w:p>
    <w:p w14:paraId="0D80FFAB" w14:textId="77777777" w:rsidR="0014329C" w:rsidRDefault="003478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Cuando los documentos son el campo: Abordajes de la investigación social sobre infancia desde el análisis de diversa documentación institucional</w:t>
      </w:r>
    </w:p>
    <w:p w14:paraId="28DCF879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212121"/>
          <w:sz w:val="24"/>
          <w:szCs w:val="24"/>
        </w:rPr>
        <w:t>3: La niñez ¿intervenida? (cuatro clases)</w:t>
      </w:r>
    </w:p>
    <w:p w14:paraId="4034FA05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Docentes: Felicitas Elías- Lidia </w:t>
      </w:r>
      <w:proofErr w:type="spellStart"/>
      <w:r>
        <w:rPr>
          <w:color w:val="212121"/>
          <w:sz w:val="24"/>
          <w:szCs w:val="24"/>
        </w:rPr>
        <w:t>Arrausi</w:t>
      </w:r>
      <w:proofErr w:type="spellEnd"/>
      <w:r>
        <w:rPr>
          <w:color w:val="212121"/>
          <w:sz w:val="24"/>
          <w:szCs w:val="24"/>
        </w:rPr>
        <w:t xml:space="preserve"> </w:t>
      </w:r>
    </w:p>
    <w:p w14:paraId="4B687745" w14:textId="77777777" w:rsidR="0014329C" w:rsidRDefault="003478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Niñez y adolescencia en contextos adulto-céntricos</w:t>
      </w:r>
    </w:p>
    <w:p w14:paraId="01B469A9" w14:textId="77777777" w:rsidR="0014329C" w:rsidRDefault="003478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Intervención social, control social y políticas públicas</w:t>
      </w:r>
    </w:p>
    <w:p w14:paraId="014638D6" w14:textId="77777777" w:rsidR="0014329C" w:rsidRDefault="003478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De</w:t>
      </w:r>
      <w:r>
        <w:rPr>
          <w:color w:val="000000"/>
          <w:sz w:val="24"/>
          <w:szCs w:val="24"/>
        </w:rPr>
        <w:t xml:space="preserve"> la tutela a la promoción y protección. </w:t>
      </w:r>
    </w:p>
    <w:p w14:paraId="7DFF254F" w14:textId="77777777" w:rsidR="0014329C" w:rsidRDefault="003478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Estrategias de ¿intervención? </w:t>
      </w:r>
    </w:p>
    <w:p w14:paraId="4047480C" w14:textId="77777777" w:rsidR="0014329C" w:rsidRDefault="003478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El sistema de protección y sus dispositivos en debate.</w:t>
      </w:r>
    </w:p>
    <w:p w14:paraId="09A3C0DD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212121"/>
          <w:sz w:val="24"/>
          <w:szCs w:val="24"/>
        </w:rPr>
        <w:t>Unidad 4: Primera infancia: de los saberes a las políticas (cuatro clases)</w:t>
      </w:r>
    </w:p>
    <w:p w14:paraId="6A2AA338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 xml:space="preserve">Docentes: Adrián </w:t>
      </w:r>
      <w:proofErr w:type="spellStart"/>
      <w:r>
        <w:rPr>
          <w:color w:val="212121"/>
          <w:sz w:val="24"/>
          <w:szCs w:val="24"/>
        </w:rPr>
        <w:t>Rozengardt</w:t>
      </w:r>
      <w:proofErr w:type="spellEnd"/>
      <w:r>
        <w:rPr>
          <w:color w:val="212121"/>
          <w:sz w:val="24"/>
          <w:szCs w:val="24"/>
        </w:rPr>
        <w:t xml:space="preserve">, Milton </w:t>
      </w:r>
      <w:proofErr w:type="spellStart"/>
      <w:r>
        <w:rPr>
          <w:color w:val="212121"/>
          <w:sz w:val="24"/>
          <w:szCs w:val="24"/>
        </w:rPr>
        <w:t>Bidese</w:t>
      </w:r>
      <w:proofErr w:type="spellEnd"/>
      <w:r>
        <w:rPr>
          <w:color w:val="212121"/>
          <w:sz w:val="24"/>
          <w:szCs w:val="24"/>
        </w:rPr>
        <w:t xml:space="preserve"> y Sergio </w:t>
      </w:r>
      <w:proofErr w:type="spellStart"/>
      <w:r>
        <w:rPr>
          <w:color w:val="212121"/>
          <w:sz w:val="24"/>
          <w:szCs w:val="24"/>
        </w:rPr>
        <w:t>Fajn</w:t>
      </w:r>
      <w:proofErr w:type="spellEnd"/>
    </w:p>
    <w:p w14:paraId="00C47962" w14:textId="77777777" w:rsidR="0014329C" w:rsidRDefault="00347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La primera infancia como sujeto político y social. Historia, contextos y procesos.</w:t>
      </w:r>
    </w:p>
    <w:p w14:paraId="0C715682" w14:textId="77777777" w:rsidR="0014329C" w:rsidRDefault="00347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Las tres esferas de análisis del universo de la primera infancia: diversidad, fragmentación y desigualdad. Desigualdad vs. bienestar infantil: calidad, inclusión y financiam</w:t>
      </w:r>
      <w:r>
        <w:rPr>
          <w:color w:val="212121"/>
          <w:sz w:val="24"/>
          <w:szCs w:val="24"/>
        </w:rPr>
        <w:t>iento.</w:t>
      </w:r>
    </w:p>
    <w:p w14:paraId="73106BA7" w14:textId="77777777" w:rsidR="0014329C" w:rsidRDefault="00347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El universo de la primera infancia en Argentina y Latinoamérica. La primera infancia en la agenda de las políticas públicas.</w:t>
      </w:r>
    </w:p>
    <w:p w14:paraId="57FED460" w14:textId="77777777" w:rsidR="0014329C" w:rsidRDefault="003478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El juego en la primera infancia. </w:t>
      </w:r>
    </w:p>
    <w:p w14:paraId="66263BEB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212121"/>
          <w:sz w:val="24"/>
          <w:szCs w:val="24"/>
        </w:rPr>
        <w:t>Unidad 5: Participación y protagonismo adolescente (cuatro clases)</w:t>
      </w:r>
    </w:p>
    <w:p w14:paraId="63D5866D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Docentes: Melina Vázquez y Pablo Di</w:t>
      </w:r>
      <w:r w:rsidR="00855263">
        <w:rPr>
          <w:color w:val="212121"/>
          <w:sz w:val="24"/>
          <w:szCs w:val="24"/>
        </w:rPr>
        <w:t xml:space="preserve"> L</w:t>
      </w:r>
      <w:r>
        <w:rPr>
          <w:color w:val="212121"/>
          <w:sz w:val="24"/>
          <w:szCs w:val="24"/>
        </w:rPr>
        <w:t xml:space="preserve">eo </w:t>
      </w:r>
    </w:p>
    <w:p w14:paraId="1192FE8F" w14:textId="77777777" w:rsidR="0014329C" w:rsidRDefault="00347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Derecho y participación</w:t>
      </w:r>
    </w:p>
    <w:p w14:paraId="4F3C6A32" w14:textId="77777777" w:rsidR="0014329C" w:rsidRDefault="00347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Diferencias entre participación y protagonismo de adolescentes</w:t>
      </w:r>
    </w:p>
    <w:p w14:paraId="5BC2ED7C" w14:textId="77777777" w:rsidR="0014329C" w:rsidRDefault="00347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Relación mundo-</w:t>
      </w:r>
      <w:r>
        <w:rPr>
          <w:sz w:val="24"/>
          <w:szCs w:val="24"/>
        </w:rPr>
        <w:t>adolescente</w:t>
      </w:r>
      <w:r>
        <w:rPr>
          <w:color w:val="000000"/>
          <w:sz w:val="24"/>
          <w:szCs w:val="24"/>
        </w:rPr>
        <w:t>/mundo adulto (teoría del desconocim</w:t>
      </w:r>
      <w:r>
        <w:rPr>
          <w:color w:val="000000"/>
          <w:sz w:val="24"/>
          <w:szCs w:val="24"/>
        </w:rPr>
        <w:t xml:space="preserve">iento) </w:t>
      </w:r>
    </w:p>
    <w:p w14:paraId="601D8869" w14:textId="77777777" w:rsidR="0014329C" w:rsidRDefault="00347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Tensiones y enfoque limitados, obstáculos</w:t>
      </w:r>
    </w:p>
    <w:p w14:paraId="6807003B" w14:textId="77777777" w:rsidR="0014329C" w:rsidRDefault="00347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Historia de la participación juvenil adolescente</w:t>
      </w:r>
    </w:p>
    <w:p w14:paraId="6FA0BA56" w14:textId="77777777" w:rsidR="0014329C" w:rsidRDefault="003478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Hitos históricos. La juventud maravillosa, la mayoría de edad, el voto a los 16, aparición de la categoría adolescencia en el nuevo código civil y comercial.</w:t>
      </w:r>
    </w:p>
    <w:p w14:paraId="04196C75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212121"/>
          <w:sz w:val="24"/>
          <w:szCs w:val="24"/>
        </w:rPr>
        <w:t>Unidad 6: Enfoque de derechos en niñez y adolescencia.</w:t>
      </w:r>
    </w:p>
    <w:p w14:paraId="5E6277AE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 Docentes: Marisa Graham, Laura Sardá, Damián Muñoz.</w:t>
      </w:r>
    </w:p>
    <w:p w14:paraId="02962A60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Nuevos debates sobre derechos de los niños, niñas y adolescentes</w:t>
      </w:r>
    </w:p>
    <w:p w14:paraId="55E46862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 xml:space="preserve">Del </w:t>
      </w:r>
      <w:proofErr w:type="spellStart"/>
      <w:r>
        <w:rPr>
          <w:color w:val="212121"/>
          <w:sz w:val="24"/>
          <w:szCs w:val="24"/>
        </w:rPr>
        <w:t>tutelarismo</w:t>
      </w:r>
      <w:proofErr w:type="spellEnd"/>
      <w:r>
        <w:rPr>
          <w:color w:val="212121"/>
          <w:sz w:val="24"/>
          <w:szCs w:val="24"/>
        </w:rPr>
        <w:t xml:space="preserve"> clásico al neoproteccionismo</w:t>
      </w:r>
    </w:p>
    <w:p w14:paraId="36856AB2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 xml:space="preserve">El modelo garantista. </w:t>
      </w:r>
    </w:p>
    <w:p w14:paraId="375AF925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Contextos políticos y Convención.</w:t>
      </w:r>
    </w:p>
    <w:p w14:paraId="3814C90C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Los derechos de los niños, niñas y adolescentes en el Nuevo Código Civil y Comercial de la Nación</w:t>
      </w:r>
    </w:p>
    <w:p w14:paraId="1071AB94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 xml:space="preserve">Agencias internacionales, seguimiento de la CDN. </w:t>
      </w:r>
    </w:p>
    <w:p w14:paraId="73CFF48D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212121"/>
          <w:sz w:val="24"/>
          <w:szCs w:val="24"/>
        </w:rPr>
        <w:t>Conflictos y tensiones en la consideración de niños, niñas y adolescentes como sujetos de derechos.</w:t>
      </w:r>
    </w:p>
    <w:p w14:paraId="0BE5B060" w14:textId="77777777" w:rsidR="0014329C" w:rsidRDefault="0034786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Política</w:t>
      </w:r>
      <w:r>
        <w:rPr>
          <w:color w:val="000000"/>
          <w:sz w:val="24"/>
          <w:szCs w:val="24"/>
        </w:rPr>
        <w:t xml:space="preserve"> criminal y la adolescencia como conflicto</w:t>
      </w:r>
    </w:p>
    <w:p w14:paraId="05ABFCC4" w14:textId="77777777" w:rsidR="0014329C" w:rsidRDefault="00347869">
      <w:pPr>
        <w:shd w:val="clear" w:color="auto" w:fill="FFFFFF"/>
        <w:spacing w:before="280" w:after="28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212121"/>
          <w:sz w:val="24"/>
          <w:szCs w:val="24"/>
        </w:rPr>
        <w:t>Debates pendientes</w:t>
      </w:r>
    </w:p>
    <w:p w14:paraId="320C8CEC" w14:textId="77777777" w:rsidR="0014329C" w:rsidRDefault="00347869">
      <w:pPr>
        <w:spacing w:before="280" w:after="280" w:line="360" w:lineRule="auto"/>
        <w:jc w:val="both"/>
        <w:rPr>
          <w:color w:val="000000"/>
        </w:rPr>
      </w:pPr>
      <w:bookmarkStart w:id="0" w:name="_gjdgxs" w:colFirst="0" w:colLast="0"/>
      <w:bookmarkEnd w:id="0"/>
      <w:r>
        <w:rPr>
          <w:color w:val="000000"/>
        </w:rPr>
        <w:t>Niñez y Medios</w:t>
      </w:r>
    </w:p>
    <w:p w14:paraId="26870989" w14:textId="77777777" w:rsidR="0014329C" w:rsidRDefault="00347869">
      <w:pPr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Metodologías y lecturas de las condiciones de vida de niños y adolescentes</w:t>
      </w:r>
    </w:p>
    <w:p w14:paraId="25859168" w14:textId="77777777" w:rsidR="0014329C" w:rsidRDefault="00347869">
      <w:pPr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Infancia y espacios tecnológicos</w:t>
      </w:r>
    </w:p>
    <w:p w14:paraId="102804F2" w14:textId="77777777" w:rsidR="0014329C" w:rsidRDefault="00347869">
      <w:pPr>
        <w:spacing w:before="280" w:after="280" w:line="360" w:lineRule="auto"/>
        <w:jc w:val="both"/>
        <w:rPr>
          <w:color w:val="000000"/>
        </w:rPr>
      </w:pPr>
      <w:r>
        <w:rPr>
          <w:color w:val="000000"/>
        </w:rPr>
        <w:t>Información y sistema penal juvenil</w:t>
      </w:r>
    </w:p>
    <w:p w14:paraId="6A527A4C" w14:textId="77777777" w:rsidR="0014329C" w:rsidRDefault="00347869">
      <w:pPr>
        <w:spacing w:before="280" w:after="280" w:line="360" w:lineRule="auto"/>
        <w:jc w:val="both"/>
        <w:rPr>
          <w:color w:val="000000"/>
        </w:rPr>
      </w:pPr>
      <w:r>
        <w:rPr>
          <w:b/>
          <w:color w:val="212121"/>
          <w:sz w:val="24"/>
          <w:szCs w:val="24"/>
        </w:rPr>
        <w:t>Taller de TIF</w:t>
      </w:r>
    </w:p>
    <w:p w14:paraId="792AB343" w14:textId="77777777" w:rsidR="0014329C" w:rsidRDefault="00347869" w:rsidP="00855263">
      <w:pPr>
        <w:shd w:val="clear" w:color="auto" w:fill="FFFFFF"/>
        <w:spacing w:before="280" w:after="280" w:line="360" w:lineRule="auto"/>
        <w:jc w:val="both"/>
        <w:rPr>
          <w:b/>
        </w:rPr>
      </w:pPr>
      <w:r>
        <w:rPr>
          <w:color w:val="212121"/>
          <w:sz w:val="24"/>
          <w:szCs w:val="24"/>
        </w:rPr>
        <w:t xml:space="preserve">Docentes: Adrián </w:t>
      </w:r>
      <w:proofErr w:type="spellStart"/>
      <w:r>
        <w:rPr>
          <w:color w:val="212121"/>
          <w:sz w:val="24"/>
          <w:szCs w:val="24"/>
        </w:rPr>
        <w:t>Rozengardt</w:t>
      </w:r>
      <w:proofErr w:type="spellEnd"/>
    </w:p>
    <w:sectPr w:rsidR="0014329C">
      <w:headerReference w:type="default" r:id="rId7"/>
      <w:footerReference w:type="default" r:id="rId8"/>
      <w:pgSz w:w="11907" w:h="16839"/>
      <w:pgMar w:top="3261" w:right="1559" w:bottom="1702" w:left="1560" w:header="993" w:footer="9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2026B" w14:textId="77777777" w:rsidR="00347869" w:rsidRDefault="00347869">
      <w:pPr>
        <w:spacing w:after="0" w:line="240" w:lineRule="auto"/>
      </w:pPr>
      <w:r>
        <w:separator/>
      </w:r>
    </w:p>
  </w:endnote>
  <w:endnote w:type="continuationSeparator" w:id="0">
    <w:p w14:paraId="124719C7" w14:textId="77777777" w:rsidR="00347869" w:rsidRDefault="00347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FB2D5" w14:textId="77777777" w:rsidR="0014329C" w:rsidRDefault="003478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-1038224</wp:posOffset>
          </wp:positionH>
          <wp:positionV relativeFrom="paragraph">
            <wp:posOffset>-421639</wp:posOffset>
          </wp:positionV>
          <wp:extent cx="7296150" cy="885825"/>
          <wp:effectExtent l="0" t="0" r="0" b="0"/>
          <wp:wrapNone/>
          <wp:docPr id="1" name="image2.jpg" descr="pie de página hoja membre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ie de página hoja membre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50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51C2D" w14:textId="77777777" w:rsidR="00347869" w:rsidRDefault="00347869">
      <w:pPr>
        <w:spacing w:after="0" w:line="240" w:lineRule="auto"/>
      </w:pPr>
      <w:r>
        <w:separator/>
      </w:r>
    </w:p>
  </w:footnote>
  <w:footnote w:type="continuationSeparator" w:id="0">
    <w:p w14:paraId="3F1168C5" w14:textId="77777777" w:rsidR="00347869" w:rsidRDefault="00347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C02A1" w14:textId="77777777" w:rsidR="0014329C" w:rsidRDefault="0034786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-284"/>
      <w:jc w:val="right"/>
      <w:rPr>
        <w:i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-634364</wp:posOffset>
          </wp:positionH>
          <wp:positionV relativeFrom="paragraph">
            <wp:posOffset>117475</wp:posOffset>
          </wp:positionV>
          <wp:extent cx="3091815" cy="102108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9181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6DCCE8" w14:textId="77777777" w:rsidR="0014329C" w:rsidRDefault="001432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24738"/>
    <w:multiLevelType w:val="multilevel"/>
    <w:tmpl w:val="F6B04E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730E"/>
    <w:multiLevelType w:val="multilevel"/>
    <w:tmpl w:val="557606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D956A3"/>
    <w:multiLevelType w:val="multilevel"/>
    <w:tmpl w:val="08DC2A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3E5B89"/>
    <w:multiLevelType w:val="multilevel"/>
    <w:tmpl w:val="B868F5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4479B0"/>
    <w:multiLevelType w:val="multilevel"/>
    <w:tmpl w:val="291EEF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48D9"/>
    <w:multiLevelType w:val="multilevel"/>
    <w:tmpl w:val="EBE089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64C0C"/>
    <w:multiLevelType w:val="multilevel"/>
    <w:tmpl w:val="6C50D0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20341"/>
    <w:multiLevelType w:val="multilevel"/>
    <w:tmpl w:val="E1A4DA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9C"/>
    <w:rsid w:val="0014329C"/>
    <w:rsid w:val="00347869"/>
    <w:rsid w:val="00855263"/>
    <w:rsid w:val="00B44FDF"/>
    <w:rsid w:val="00B6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7CF5"/>
  <w15:docId w15:val="{FD19036B-5052-4C24-B1A3-5C981AF5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b/>
      <w:color w:val="4472C4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2"/>
    </w:pPr>
    <w:rPr>
      <w:b/>
      <w:color w:val="4472C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b/>
      <w:i/>
      <w:color w:val="4472C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color w:val="1F3863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5"/>
    </w:pPr>
    <w:rPr>
      <w:i/>
      <w:color w:val="1F386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4472C4"/>
      </w:pBdr>
      <w:spacing w:after="300" w:line="240" w:lineRule="auto"/>
    </w:pPr>
    <w:rPr>
      <w:color w:val="323E4F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Pr>
      <w:i/>
      <w:color w:val="4472C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1366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Gardel</cp:lastModifiedBy>
  <cp:revision>4</cp:revision>
  <dcterms:created xsi:type="dcterms:W3CDTF">2019-04-09T01:43:00Z</dcterms:created>
  <dcterms:modified xsi:type="dcterms:W3CDTF">2019-04-09T01:46:00Z</dcterms:modified>
</cp:coreProperties>
</file>