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F685" w14:textId="77777777" w:rsidR="00294F49" w:rsidRDefault="00294F4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63A7021D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1908FC69" w14:textId="77777777" w:rsidR="00294F49" w:rsidRPr="00D37927" w:rsidRDefault="00196D27" w:rsidP="00D37927">
      <w:pPr>
        <w:pStyle w:val="Prrafodelista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 w:rsidRPr="00D37927">
        <w:rPr>
          <w:b/>
          <w:color w:val="000000"/>
          <w:sz w:val="36"/>
          <w:szCs w:val="36"/>
        </w:rPr>
        <w:t>TÍTULO DEL CURSO</w:t>
      </w:r>
    </w:p>
    <w:tbl>
      <w:tblPr>
        <w:tblStyle w:val="afb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7ED588D9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14E0" w14:textId="77777777" w:rsidR="00294F49" w:rsidRPr="00D37927" w:rsidRDefault="00D37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 w:rsidRPr="00D37927">
              <w:rPr>
                <w:b/>
                <w:color w:val="000000"/>
              </w:rPr>
              <w:t xml:space="preserve">TECNOPOLÍTICA Y COMUNICACIÓN </w:t>
            </w:r>
          </w:p>
        </w:tc>
      </w:tr>
    </w:tbl>
    <w:p w14:paraId="60EFE4DE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294F49" w14:paraId="48EF0834" w14:textId="77777777">
        <w:trPr>
          <w:cantSplit/>
          <w:tblHeader/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BF22F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6F79A" w14:textId="77777777" w:rsidR="00294F49" w:rsidRDefault="00D37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D37927">
              <w:rPr>
                <w:b/>
                <w:color w:val="000000"/>
              </w:rPr>
              <w:t>Docente a cargo</w:t>
            </w:r>
            <w:r>
              <w:rPr>
                <w:color w:val="000000"/>
              </w:rPr>
              <w:t xml:space="preserve">: Lic. Silvina Morelli </w:t>
            </w:r>
          </w:p>
          <w:p w14:paraId="6B85929A" w14:textId="77777777" w:rsidR="00D37927" w:rsidRDefault="00D37927" w:rsidP="00D37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14:paraId="7E561EF8" w14:textId="77777777" w:rsidR="00D37927" w:rsidRDefault="00D37927" w:rsidP="00D37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D37927">
              <w:rPr>
                <w:b/>
                <w:color w:val="000000"/>
              </w:rPr>
              <w:t>Equipo docente</w:t>
            </w:r>
            <w:r>
              <w:rPr>
                <w:color w:val="000000"/>
              </w:rPr>
              <w:t>: Lic. Julio Rodr</w:t>
            </w:r>
            <w:r w:rsidR="008669B8">
              <w:rPr>
                <w:color w:val="000000"/>
              </w:rPr>
              <w:t>íguez Ferná</w:t>
            </w:r>
            <w:r>
              <w:rPr>
                <w:color w:val="000000"/>
              </w:rPr>
              <w:t xml:space="preserve">ndez </w:t>
            </w:r>
          </w:p>
        </w:tc>
      </w:tr>
    </w:tbl>
    <w:p w14:paraId="151A9354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104C8114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2A83A" w14:textId="77777777" w:rsidR="00294F49" w:rsidRPr="00D37927" w:rsidRDefault="00D37927" w:rsidP="00D37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Pr="00D37927">
              <w:rPr>
                <w:rFonts w:asciiTheme="majorHAnsi" w:hAnsiTheme="majorHAnsi" w:cstheme="majorHAnsi"/>
              </w:rPr>
              <w:t xml:space="preserve">ivimos en ciberculturas de multitudes conectadas donde se desarrolla la </w:t>
            </w:r>
            <w:proofErr w:type="spellStart"/>
            <w:r w:rsidRPr="00D37927">
              <w:rPr>
                <w:rFonts w:asciiTheme="majorHAnsi" w:hAnsiTheme="majorHAnsi" w:cstheme="majorHAnsi"/>
              </w:rPr>
              <w:t>tecnopolítica</w:t>
            </w:r>
            <w:proofErr w:type="spellEnd"/>
            <w:r w:rsidRPr="00D37927">
              <w:rPr>
                <w:rFonts w:asciiTheme="majorHAnsi" w:hAnsiTheme="majorHAnsi" w:cstheme="majorHAnsi"/>
              </w:rPr>
              <w:t xml:space="preserve"> -un conjunto de herramientas del mundo digital que comunican subjetividades personales, un proyecto político, un producto y/o una marca-. </w:t>
            </w:r>
            <w:r>
              <w:rPr>
                <w:rFonts w:asciiTheme="majorHAnsi" w:hAnsiTheme="majorHAnsi" w:cstheme="majorHAnsi"/>
              </w:rPr>
              <w:t xml:space="preserve">Desde la </w:t>
            </w:r>
            <w:proofErr w:type="spellStart"/>
            <w:r>
              <w:rPr>
                <w:rFonts w:asciiTheme="majorHAnsi" w:hAnsiTheme="majorHAnsi" w:cstheme="majorHAnsi"/>
              </w:rPr>
              <w:t>pre-pandemia</w:t>
            </w:r>
            <w:proofErr w:type="spellEnd"/>
            <w:r>
              <w:rPr>
                <w:rFonts w:asciiTheme="majorHAnsi" w:hAnsiTheme="majorHAnsi" w:cstheme="majorHAnsi"/>
              </w:rPr>
              <w:t xml:space="preserve"> hablamos en estos términos, en tanto las experiencias en pandemia y la </w:t>
            </w:r>
            <w:proofErr w:type="spellStart"/>
            <w:r>
              <w:rPr>
                <w:rFonts w:asciiTheme="majorHAnsi" w:hAnsiTheme="majorHAnsi" w:cstheme="majorHAnsi"/>
              </w:rPr>
              <w:t>pos-pandemia</w:t>
            </w:r>
            <w:proofErr w:type="spellEnd"/>
            <w:r>
              <w:rPr>
                <w:rFonts w:asciiTheme="majorHAnsi" w:hAnsiTheme="majorHAnsi" w:cstheme="majorHAnsi"/>
              </w:rPr>
              <w:t xml:space="preserve"> como escenarios VICA (volátiles, inciertos, complejos y ambiguos), nos invitan a profundizar la reflexión. </w:t>
            </w:r>
            <w:r w:rsidRPr="00D37927">
              <w:rPr>
                <w:rFonts w:asciiTheme="majorHAnsi" w:hAnsiTheme="majorHAnsi" w:cstheme="majorHAnsi"/>
              </w:rPr>
              <w:t xml:space="preserve">En este contexto, los medios sociales en internet ya no son cosa de expertos y exigen a la política y a los políticos una comunicación estratégica que incluya lógicas propias de la red. </w:t>
            </w:r>
            <w:r>
              <w:rPr>
                <w:rFonts w:asciiTheme="majorHAnsi" w:hAnsiTheme="majorHAnsi" w:cstheme="majorHAnsi"/>
              </w:rPr>
              <w:t>Así, l</w:t>
            </w:r>
            <w:r w:rsidRPr="00D37927">
              <w:rPr>
                <w:rFonts w:asciiTheme="majorHAnsi" w:hAnsiTheme="majorHAnsi" w:cstheme="majorHAnsi"/>
              </w:rPr>
              <w:t>os formatos, los contenidos, las estéticas, la escucha social y las interacciones deberán estar en sintonía con un universo de electores y ciudadanos cada vez más empoderados. Centrada en estas cuestiones, la formación</w:t>
            </w:r>
            <w:r>
              <w:rPr>
                <w:rFonts w:asciiTheme="majorHAnsi" w:hAnsiTheme="majorHAnsi" w:cstheme="majorHAnsi"/>
              </w:rPr>
              <w:t xml:space="preserve"> en </w:t>
            </w:r>
            <w:proofErr w:type="spellStart"/>
            <w:r>
              <w:rPr>
                <w:rFonts w:asciiTheme="majorHAnsi" w:hAnsiTheme="majorHAnsi" w:cstheme="majorHAnsi"/>
              </w:rPr>
              <w:t>Tecnopolítica</w:t>
            </w:r>
            <w:proofErr w:type="spellEnd"/>
            <w:r>
              <w:rPr>
                <w:rFonts w:asciiTheme="majorHAnsi" w:hAnsiTheme="majorHAnsi" w:cstheme="majorHAnsi"/>
              </w:rPr>
              <w:t xml:space="preserve"> y Comunicación</w:t>
            </w:r>
            <w:r w:rsidRPr="00D37927">
              <w:rPr>
                <w:rFonts w:asciiTheme="majorHAnsi" w:hAnsiTheme="majorHAnsi" w:cstheme="majorHAnsi"/>
              </w:rPr>
              <w:t xml:space="preserve"> apunta a identificar los desafíos de estos tiempos para gestionar la </w:t>
            </w:r>
            <w:proofErr w:type="gramStart"/>
            <w:r w:rsidRPr="00D37927">
              <w:rPr>
                <w:rFonts w:asciiTheme="majorHAnsi" w:hAnsiTheme="majorHAnsi" w:cstheme="majorHAnsi"/>
              </w:rPr>
              <w:t>comunicación  de</w:t>
            </w:r>
            <w:proofErr w:type="gramEnd"/>
            <w:r w:rsidRPr="00D37927">
              <w:rPr>
                <w:rFonts w:asciiTheme="majorHAnsi" w:hAnsiTheme="majorHAnsi" w:cstheme="majorHAnsi"/>
              </w:rPr>
              <w:t xml:space="preserve"> manera efectiva</w:t>
            </w:r>
            <w:r>
              <w:rPr>
                <w:rFonts w:asciiTheme="majorHAnsi" w:hAnsiTheme="majorHAnsi" w:cstheme="majorHAnsi"/>
              </w:rPr>
              <w:t xml:space="preserve"> y estratégica</w:t>
            </w:r>
            <w:r w:rsidRPr="00D37927">
              <w:rPr>
                <w:rFonts w:asciiTheme="majorHAnsi" w:hAnsiTheme="majorHAnsi" w:cstheme="majorHAnsi"/>
              </w:rPr>
              <w:t>.</w:t>
            </w:r>
          </w:p>
        </w:tc>
      </w:tr>
    </w:tbl>
    <w:p w14:paraId="6200A518" w14:textId="77777777" w:rsidR="00D37927" w:rsidRDefault="00D379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</w:p>
    <w:p w14:paraId="4DCA78D6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4. OBJETIVOS</w:t>
      </w:r>
    </w:p>
    <w:tbl>
      <w:tblPr>
        <w:tblStyle w:val="afe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71176D47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91E4" w14:textId="77777777" w:rsidR="00D37927" w:rsidRDefault="00196D27" w:rsidP="00D37927">
            <w:pPr>
              <w:pStyle w:val="Normal1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D37927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D37927" w:rsidRPr="00D37927">
              <w:rPr>
                <w:rFonts w:asciiTheme="majorHAnsi" w:hAnsiTheme="majorHAnsi" w:cstheme="majorHAnsi"/>
              </w:rPr>
              <w:t xml:space="preserve">1- Promover el pensamiento crítico reflexionando sobre la relación que se establece entre la </w:t>
            </w:r>
            <w:proofErr w:type="spellStart"/>
            <w:r w:rsidR="00D37927" w:rsidRPr="00D37927">
              <w:rPr>
                <w:rFonts w:asciiTheme="majorHAnsi" w:hAnsiTheme="majorHAnsi" w:cstheme="majorHAnsi"/>
              </w:rPr>
              <w:t>tecnopolítica</w:t>
            </w:r>
            <w:proofErr w:type="spellEnd"/>
            <w:r w:rsidR="00D37927" w:rsidRPr="00D37927">
              <w:rPr>
                <w:rFonts w:asciiTheme="majorHAnsi" w:hAnsiTheme="majorHAnsi" w:cstheme="majorHAnsi"/>
              </w:rPr>
              <w:t xml:space="preserve"> -como herramienta de comunicación- y el mundo político y de gobierno.</w:t>
            </w:r>
          </w:p>
          <w:p w14:paraId="3E0BC41A" w14:textId="77777777" w:rsidR="003822B5" w:rsidRDefault="003822B5" w:rsidP="00D37927">
            <w:pPr>
              <w:pStyle w:val="Normal1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646EDF0D" w14:textId="77777777" w:rsidR="00D37927" w:rsidRDefault="00D37927" w:rsidP="00D37927">
            <w:pPr>
              <w:pStyle w:val="Normal1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D37927">
              <w:rPr>
                <w:rFonts w:asciiTheme="majorHAnsi" w:hAnsiTheme="majorHAnsi" w:cstheme="majorHAnsi"/>
              </w:rPr>
              <w:t>2- Que los estudiantes adquieran competencias para evaluar la realidad comunicacional y establecer acciones estratégicas.</w:t>
            </w:r>
          </w:p>
          <w:p w14:paraId="0C6FEC1D" w14:textId="77777777" w:rsidR="003822B5" w:rsidRPr="00D37927" w:rsidRDefault="003822B5" w:rsidP="00D37927">
            <w:pPr>
              <w:pStyle w:val="Normal1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  <w:p w14:paraId="3CC1C7B6" w14:textId="77777777" w:rsidR="00294F49" w:rsidRDefault="00D37927" w:rsidP="003822B5">
            <w:pPr>
              <w:pStyle w:val="Normal1"/>
              <w:widowControl w:val="0"/>
              <w:spacing w:after="0" w:line="240" w:lineRule="auto"/>
              <w:rPr>
                <w:color w:val="000000"/>
              </w:rPr>
            </w:pPr>
            <w:r w:rsidRPr="00D37927">
              <w:rPr>
                <w:rFonts w:asciiTheme="majorHAnsi" w:hAnsiTheme="majorHAnsi" w:cstheme="majorHAnsi"/>
              </w:rPr>
              <w:t xml:space="preserve"> 3-Que los estudiantes adquieran competencias para el asesoramiento y la implementación de programas de comunicación integral, en entornos donde la </w:t>
            </w:r>
            <w:proofErr w:type="spellStart"/>
            <w:r w:rsidRPr="00D37927">
              <w:rPr>
                <w:rFonts w:asciiTheme="majorHAnsi" w:hAnsiTheme="majorHAnsi" w:cstheme="majorHAnsi"/>
              </w:rPr>
              <w:t>tecnopolítica</w:t>
            </w:r>
            <w:proofErr w:type="spellEnd"/>
            <w:r w:rsidRPr="00D37927">
              <w:rPr>
                <w:rFonts w:asciiTheme="majorHAnsi" w:hAnsiTheme="majorHAnsi" w:cstheme="majorHAnsi"/>
              </w:rPr>
              <w:t xml:space="preserve"> incide de manera determinante.</w:t>
            </w:r>
          </w:p>
        </w:tc>
      </w:tr>
    </w:tbl>
    <w:p w14:paraId="2AC826AB" w14:textId="314CE2C3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tyjcwt" w:colFirst="0" w:colLast="0"/>
      <w:bookmarkEnd w:id="5"/>
      <w:r>
        <w:rPr>
          <w:b/>
          <w:color w:val="000000"/>
          <w:sz w:val="36"/>
          <w:szCs w:val="36"/>
        </w:rPr>
        <w:lastRenderedPageBreak/>
        <w:t>. PROGRAMA A DESARROLLAR</w:t>
      </w:r>
    </w:p>
    <w:tbl>
      <w:tblPr>
        <w:tblStyle w:val="a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294F49" w14:paraId="062B8439" w14:textId="77777777">
        <w:trPr>
          <w:cantSplit/>
          <w:tblHeader/>
        </w:trPr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3AEC" w14:textId="77777777" w:rsidR="00156D7C" w:rsidRDefault="00D37927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Clase 1 Asincrónica - </w:t>
            </w:r>
            <w:r w:rsidRPr="00D37927">
              <w:rPr>
                <w:rFonts w:asciiTheme="majorHAnsi" w:hAnsiTheme="majorHAnsi" w:cstheme="majorHAnsi"/>
                <w:b/>
              </w:rPr>
              <w:t>Módulo 1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D37927">
              <w:rPr>
                <w:rFonts w:asciiTheme="majorHAnsi" w:hAnsiTheme="majorHAnsi" w:cstheme="majorHAnsi"/>
                <w:b/>
              </w:rPr>
              <w:br/>
            </w:r>
            <w:r w:rsidRPr="00D37927">
              <w:rPr>
                <w:rFonts w:asciiTheme="majorHAnsi" w:hAnsiTheme="majorHAnsi" w:cstheme="majorHAnsi"/>
              </w:rPr>
              <w:t xml:space="preserve">Comunicación: paradigma informacional y relacional. Identidad e imagen en la programación estratégica de la comunicación. Comunicación tradicional y comunicación digital. </w:t>
            </w:r>
            <w:proofErr w:type="spellStart"/>
            <w:r w:rsidRPr="00D37927">
              <w:rPr>
                <w:rFonts w:asciiTheme="majorHAnsi" w:hAnsiTheme="majorHAnsi" w:cstheme="majorHAnsi"/>
              </w:rPr>
              <w:t>Tecnopolítica</w:t>
            </w:r>
            <w:proofErr w:type="spellEnd"/>
            <w:r w:rsidRPr="00D37927">
              <w:rPr>
                <w:rFonts w:asciiTheme="majorHAnsi" w:hAnsiTheme="majorHAnsi" w:cstheme="majorHAnsi"/>
              </w:rPr>
              <w:t xml:space="preserve">. </w:t>
            </w:r>
            <w:r w:rsidR="0057046C" w:rsidRPr="00D37927">
              <w:rPr>
                <w:rFonts w:asciiTheme="majorHAnsi" w:hAnsiTheme="majorHAnsi" w:cstheme="majorHAnsi"/>
              </w:rPr>
              <w:t>Hitos de la relación entre la política y los medios (la prensa, la radio, la televisión y las plataformas de internet). Cómo es el ecosistema actual (la política, las instituciones, los medios, internet y sus plataformas). A quién le hablamos en las plataformas sociales de internet. Cómo son los habitantes del ecosistema actual.</w:t>
            </w:r>
          </w:p>
          <w:p w14:paraId="6161508A" w14:textId="77777777" w:rsidR="00156D7C" w:rsidRDefault="00D37927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Clase 2 Asincrónica - </w:t>
            </w:r>
            <w:r w:rsidRPr="00D37927">
              <w:rPr>
                <w:rFonts w:asciiTheme="majorHAnsi" w:hAnsiTheme="majorHAnsi" w:cstheme="majorHAnsi"/>
                <w:b/>
              </w:rPr>
              <w:t>Módulo 2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="0057046C" w:rsidRPr="00D37927">
              <w:rPr>
                <w:rFonts w:asciiTheme="majorHAnsi" w:hAnsiTheme="majorHAnsi" w:cstheme="majorHAnsi"/>
              </w:rPr>
              <w:t xml:space="preserve">Internet y sus luchas. Posverdad y cultura </w:t>
            </w:r>
            <w:proofErr w:type="spellStart"/>
            <w:r w:rsidR="0057046C" w:rsidRPr="00D37927">
              <w:rPr>
                <w:rFonts w:asciiTheme="majorHAnsi" w:hAnsiTheme="majorHAnsi" w:cstheme="majorHAnsi"/>
              </w:rPr>
              <w:t>fake</w:t>
            </w:r>
            <w:proofErr w:type="spellEnd"/>
            <w:r w:rsidR="0057046C" w:rsidRPr="00D37927">
              <w:rPr>
                <w:rFonts w:asciiTheme="majorHAnsi" w:hAnsiTheme="majorHAnsi" w:cstheme="majorHAnsi"/>
              </w:rPr>
              <w:t>. La “</w:t>
            </w:r>
            <w:proofErr w:type="spellStart"/>
            <w:r w:rsidR="0057046C" w:rsidRPr="00D37927">
              <w:rPr>
                <w:rFonts w:asciiTheme="majorHAnsi" w:hAnsiTheme="majorHAnsi" w:cstheme="majorHAnsi"/>
              </w:rPr>
              <w:t>big</w:t>
            </w:r>
            <w:proofErr w:type="spellEnd"/>
            <w:r w:rsidR="0057046C" w:rsidRPr="00D37927">
              <w:rPr>
                <w:rFonts w:asciiTheme="majorHAnsi" w:hAnsiTheme="majorHAnsi" w:cstheme="majorHAnsi"/>
              </w:rPr>
              <w:t xml:space="preserve"> data” de la política: para qué sirve. Las principales redes sociales y sus productos comunicacionales (fotografía, diseño multimedia y </w:t>
            </w:r>
            <w:proofErr w:type="spellStart"/>
            <w:r w:rsidR="0057046C" w:rsidRPr="00D37927">
              <w:rPr>
                <w:rFonts w:asciiTheme="majorHAnsi" w:hAnsiTheme="majorHAnsi" w:cstheme="majorHAnsi"/>
              </w:rPr>
              <w:t>podcasting</w:t>
            </w:r>
            <w:proofErr w:type="spellEnd"/>
            <w:r w:rsidR="0057046C" w:rsidRPr="00D37927">
              <w:rPr>
                <w:rFonts w:asciiTheme="majorHAnsi" w:hAnsiTheme="majorHAnsi" w:cstheme="majorHAnsi"/>
              </w:rPr>
              <w:t xml:space="preserve">). </w:t>
            </w:r>
            <w:r w:rsidR="00156D7C">
              <w:rPr>
                <w:rFonts w:asciiTheme="majorHAnsi" w:hAnsiTheme="majorHAnsi" w:cstheme="majorHAnsi"/>
              </w:rPr>
              <w:t xml:space="preserve">Escribir para </w:t>
            </w:r>
            <w:r w:rsidR="003822B5">
              <w:rPr>
                <w:rFonts w:asciiTheme="majorHAnsi" w:hAnsiTheme="majorHAnsi" w:cstheme="majorHAnsi"/>
              </w:rPr>
              <w:t>internet</w:t>
            </w:r>
            <w:r w:rsidR="00156D7C">
              <w:rPr>
                <w:rFonts w:asciiTheme="majorHAnsi" w:hAnsiTheme="majorHAnsi" w:cstheme="majorHAnsi"/>
              </w:rPr>
              <w:t xml:space="preserve">. </w:t>
            </w:r>
            <w:r w:rsidR="0057046C" w:rsidRPr="00D37927">
              <w:rPr>
                <w:rFonts w:asciiTheme="majorHAnsi" w:hAnsiTheme="majorHAnsi" w:cstheme="majorHAnsi"/>
              </w:rPr>
              <w:t xml:space="preserve">Narratividad </w:t>
            </w:r>
            <w:proofErr w:type="spellStart"/>
            <w:r w:rsidR="0057046C" w:rsidRPr="00D37927">
              <w:rPr>
                <w:rFonts w:asciiTheme="majorHAnsi" w:hAnsiTheme="majorHAnsi" w:cstheme="majorHAnsi"/>
              </w:rPr>
              <w:t>transmedia</w:t>
            </w:r>
            <w:proofErr w:type="spellEnd"/>
            <w:r w:rsidR="0057046C" w:rsidRPr="00D37927">
              <w:rPr>
                <w:rFonts w:asciiTheme="majorHAnsi" w:hAnsiTheme="majorHAnsi" w:cstheme="majorHAnsi"/>
              </w:rPr>
              <w:t>.</w:t>
            </w:r>
            <w:r w:rsidR="003822B5">
              <w:rPr>
                <w:rFonts w:asciiTheme="majorHAnsi" w:hAnsiTheme="majorHAnsi" w:cstheme="majorHAnsi"/>
              </w:rPr>
              <w:t xml:space="preserve"> Idea de </w:t>
            </w:r>
            <w:proofErr w:type="spellStart"/>
            <w:r w:rsidR="003822B5">
              <w:rPr>
                <w:rFonts w:asciiTheme="majorHAnsi" w:hAnsiTheme="majorHAnsi" w:cstheme="majorHAnsi"/>
              </w:rPr>
              <w:t>Storytelling</w:t>
            </w:r>
            <w:proofErr w:type="spellEnd"/>
            <w:r w:rsidR="003822B5">
              <w:rPr>
                <w:rFonts w:asciiTheme="majorHAnsi" w:hAnsiTheme="majorHAnsi" w:cstheme="majorHAnsi"/>
              </w:rPr>
              <w:t>.</w:t>
            </w:r>
            <w:r w:rsidR="0057046C" w:rsidRPr="00D37927">
              <w:rPr>
                <w:rFonts w:asciiTheme="majorHAnsi" w:hAnsiTheme="majorHAnsi" w:cstheme="majorHAnsi"/>
              </w:rPr>
              <w:t xml:space="preserve"> Recomendaciones para la gestión de redes sociales y marketing digital.</w:t>
            </w:r>
          </w:p>
          <w:p w14:paraId="6D5BB20B" w14:textId="77777777" w:rsidR="00156D7C" w:rsidRDefault="00D37927" w:rsidP="00156D7C">
            <w:pPr>
              <w:rPr>
                <w:rFonts w:asciiTheme="majorHAnsi" w:hAnsiTheme="majorHAnsi" w:cstheme="majorHAnsi"/>
                <w:b/>
              </w:rPr>
            </w:pPr>
            <w:r w:rsidRPr="00D37927">
              <w:rPr>
                <w:rFonts w:asciiTheme="majorHAnsi" w:hAnsiTheme="majorHAnsi" w:cstheme="majorHAnsi"/>
                <w:b/>
              </w:rPr>
              <w:t xml:space="preserve">Clase 3 Sincrónica </w:t>
            </w:r>
            <w:r w:rsidR="0057046C">
              <w:rPr>
                <w:rFonts w:asciiTheme="majorHAnsi" w:hAnsiTheme="majorHAnsi" w:cstheme="majorHAnsi"/>
                <w:b/>
              </w:rPr>
              <w:t>–</w:t>
            </w:r>
            <w:r w:rsidRPr="00D37927">
              <w:rPr>
                <w:rFonts w:asciiTheme="majorHAnsi" w:hAnsiTheme="majorHAnsi" w:cstheme="majorHAnsi"/>
                <w:b/>
              </w:rPr>
              <w:t xml:space="preserve"> Revisión</w:t>
            </w:r>
            <w:r w:rsidR="0057046C">
              <w:rPr>
                <w:rFonts w:asciiTheme="majorHAnsi" w:hAnsiTheme="majorHAnsi" w:cstheme="majorHAnsi"/>
                <w:b/>
              </w:rPr>
              <w:t xml:space="preserve"> e intercambio (módulos 1 y 2)</w:t>
            </w:r>
          </w:p>
          <w:p w14:paraId="71CA501F" w14:textId="77777777" w:rsidR="00156D7C" w:rsidRDefault="0057046C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Clase 4</w:t>
            </w:r>
            <w:r w:rsidR="00D37927" w:rsidRPr="00D37927">
              <w:rPr>
                <w:rFonts w:asciiTheme="majorHAnsi" w:hAnsiTheme="majorHAnsi" w:cstheme="majorHAnsi"/>
                <w:b/>
              </w:rPr>
              <w:t xml:space="preserve"> </w:t>
            </w:r>
            <w:r w:rsidR="00D37927">
              <w:rPr>
                <w:rFonts w:asciiTheme="majorHAnsi" w:hAnsiTheme="majorHAnsi" w:cstheme="majorHAnsi"/>
                <w:b/>
              </w:rPr>
              <w:t>Asincr</w:t>
            </w:r>
            <w:r>
              <w:rPr>
                <w:rFonts w:asciiTheme="majorHAnsi" w:hAnsiTheme="majorHAnsi" w:cstheme="majorHAnsi"/>
                <w:b/>
              </w:rPr>
              <w:t>ónica - Módulo 3</w:t>
            </w:r>
            <w:r w:rsidR="00D37927">
              <w:rPr>
                <w:rFonts w:asciiTheme="majorHAnsi" w:hAnsiTheme="majorHAnsi" w:cstheme="majorHAnsi"/>
                <w:b/>
              </w:rPr>
              <w:br/>
            </w:r>
            <w:r w:rsidR="00D37927" w:rsidRPr="00D37927">
              <w:rPr>
                <w:rFonts w:asciiTheme="majorHAnsi" w:hAnsiTheme="majorHAnsi" w:cstheme="majorHAnsi"/>
              </w:rPr>
              <w:t xml:space="preserve">Qué es un Podcast. Concepto y usos. Breve historia. Estructura y tipos. Crecimiento en el mundo, en América Latina y en Argentina. Consumo de </w:t>
            </w:r>
            <w:proofErr w:type="spellStart"/>
            <w:r w:rsidR="00D37927" w:rsidRPr="00D37927">
              <w:rPr>
                <w:rFonts w:asciiTheme="majorHAnsi" w:hAnsiTheme="majorHAnsi" w:cstheme="majorHAnsi"/>
              </w:rPr>
              <w:t>PodCast</w:t>
            </w:r>
            <w:proofErr w:type="spellEnd"/>
            <w:r w:rsidR="00D37927" w:rsidRPr="00D37927">
              <w:rPr>
                <w:rFonts w:asciiTheme="majorHAnsi" w:hAnsiTheme="majorHAnsi" w:cstheme="majorHAnsi"/>
              </w:rPr>
              <w:t xml:space="preserve">.  Formato: Audiencia, Contenido, Objetivo, Periodicidad. </w:t>
            </w:r>
          </w:p>
          <w:p w14:paraId="7970A67A" w14:textId="77777777" w:rsidR="00156D7C" w:rsidRDefault="0057046C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Clase</w:t>
            </w:r>
            <w:r w:rsidR="00D37927" w:rsidRPr="00D37927">
              <w:rPr>
                <w:rFonts w:asciiTheme="majorHAnsi" w:hAnsiTheme="majorHAnsi" w:cstheme="majorHAnsi"/>
                <w:b/>
              </w:rPr>
              <w:t xml:space="preserve"> 5 </w:t>
            </w:r>
            <w:r>
              <w:rPr>
                <w:rFonts w:asciiTheme="majorHAnsi" w:hAnsiTheme="majorHAnsi" w:cstheme="majorHAnsi"/>
                <w:b/>
              </w:rPr>
              <w:t>-</w:t>
            </w:r>
            <w:r w:rsidR="00D3792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Asincrónica - Módulo 4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="00D37927" w:rsidRPr="00D37927">
              <w:rPr>
                <w:rFonts w:asciiTheme="majorHAnsi" w:hAnsiTheme="majorHAnsi" w:cstheme="majorHAnsi"/>
              </w:rPr>
              <w:t xml:space="preserve">Etapas de un </w:t>
            </w:r>
            <w:proofErr w:type="spellStart"/>
            <w:r w:rsidR="00D37927" w:rsidRPr="00D37927">
              <w:rPr>
                <w:rFonts w:asciiTheme="majorHAnsi" w:hAnsiTheme="majorHAnsi" w:cstheme="majorHAnsi"/>
              </w:rPr>
              <w:t>PodCast</w:t>
            </w:r>
            <w:proofErr w:type="spellEnd"/>
            <w:r w:rsidR="00D37927" w:rsidRPr="00D37927">
              <w:rPr>
                <w:rFonts w:asciiTheme="majorHAnsi" w:hAnsiTheme="majorHAnsi" w:cstheme="majorHAnsi"/>
              </w:rPr>
              <w:t xml:space="preserve">: Diseño. Producción e Investigación. Plan estratégico para su difusión. Grabación y Edición. Programas de edición de sonido. </w:t>
            </w:r>
            <w:proofErr w:type="spellStart"/>
            <w:r w:rsidR="00D37927" w:rsidRPr="00D37927">
              <w:rPr>
                <w:rFonts w:asciiTheme="majorHAnsi" w:hAnsiTheme="majorHAnsi" w:cstheme="majorHAnsi"/>
              </w:rPr>
              <w:t>Packaging</w:t>
            </w:r>
            <w:proofErr w:type="spellEnd"/>
            <w:r w:rsidR="00D37927" w:rsidRPr="00D37927">
              <w:rPr>
                <w:rFonts w:asciiTheme="majorHAnsi" w:hAnsiTheme="majorHAnsi" w:cstheme="majorHAnsi"/>
              </w:rPr>
              <w:t>. Plataformas de circulación. Ejemplos y trabajo en clase</w:t>
            </w:r>
          </w:p>
          <w:p w14:paraId="71AF81D7" w14:textId="77777777" w:rsidR="00156D7C" w:rsidRDefault="0057046C" w:rsidP="00156D7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Clase 6 Sincrónica - Revisión e intercambio (módulos 3 y 4)</w:t>
            </w:r>
          </w:p>
          <w:p w14:paraId="7515081E" w14:textId="77777777" w:rsidR="00156D7C" w:rsidRDefault="0057046C" w:rsidP="00156D7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Clase </w:t>
            </w:r>
            <w:r w:rsidRPr="00D37927">
              <w:rPr>
                <w:rFonts w:asciiTheme="majorHAnsi" w:hAnsiTheme="majorHAnsi" w:cstheme="majorHAnsi"/>
                <w:b/>
              </w:rPr>
              <w:t xml:space="preserve">7 </w:t>
            </w:r>
            <w:r>
              <w:rPr>
                <w:rFonts w:asciiTheme="majorHAnsi" w:hAnsiTheme="majorHAnsi" w:cstheme="majorHAnsi"/>
                <w:b/>
              </w:rPr>
              <w:t>- As</w:t>
            </w:r>
            <w:r w:rsidRPr="00D37927">
              <w:rPr>
                <w:rFonts w:asciiTheme="majorHAnsi" w:hAnsiTheme="majorHAnsi" w:cstheme="majorHAnsi"/>
                <w:b/>
              </w:rPr>
              <w:t>incr</w:t>
            </w:r>
            <w:r>
              <w:rPr>
                <w:rFonts w:asciiTheme="majorHAnsi" w:hAnsiTheme="majorHAnsi" w:cstheme="majorHAnsi"/>
                <w:b/>
              </w:rPr>
              <w:t>ónica</w:t>
            </w:r>
            <w:r w:rsidRPr="00D37927">
              <w:rPr>
                <w:rFonts w:asciiTheme="majorHAnsi" w:hAnsiTheme="majorHAnsi" w:cstheme="majorHAnsi"/>
                <w:b/>
              </w:rPr>
              <w:br/>
            </w:r>
            <w:r>
              <w:rPr>
                <w:rFonts w:asciiTheme="majorHAnsi" w:hAnsiTheme="majorHAnsi" w:cstheme="majorHAnsi"/>
              </w:rPr>
              <w:t xml:space="preserve">Media Training. Agenda. </w:t>
            </w:r>
            <w:r w:rsidR="00D37927" w:rsidRPr="00D37927">
              <w:rPr>
                <w:rFonts w:asciiTheme="majorHAnsi" w:hAnsiTheme="majorHAnsi" w:cstheme="majorHAnsi"/>
              </w:rPr>
              <w:t>Políticos, política y campañas. Posicionamiento de un candidato y etapas de una campaña política. Ejemplos</w:t>
            </w:r>
            <w:r>
              <w:rPr>
                <w:rFonts w:asciiTheme="majorHAnsi" w:hAnsiTheme="majorHAnsi" w:cstheme="majorHAnsi"/>
              </w:rPr>
              <w:t xml:space="preserve"> de Argentina y el mundo</w:t>
            </w:r>
            <w:r w:rsidR="00D37927" w:rsidRPr="00D37927">
              <w:rPr>
                <w:rFonts w:asciiTheme="majorHAnsi" w:hAnsiTheme="majorHAnsi" w:cstheme="majorHAnsi"/>
              </w:rPr>
              <w:t xml:space="preserve">. </w:t>
            </w:r>
          </w:p>
          <w:p w14:paraId="42E56035" w14:textId="77777777" w:rsidR="00E263E6" w:rsidRDefault="0057046C" w:rsidP="00E26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Clase 8 </w:t>
            </w:r>
            <w:r w:rsidR="00D37927" w:rsidRPr="00D37927">
              <w:rPr>
                <w:rFonts w:asciiTheme="majorHAnsi" w:hAnsiTheme="majorHAnsi" w:cstheme="majorHAnsi"/>
                <w:b/>
              </w:rPr>
              <w:t>Sincrónico</w:t>
            </w:r>
            <w:r>
              <w:rPr>
                <w:rFonts w:asciiTheme="majorHAnsi" w:hAnsiTheme="majorHAnsi" w:cstheme="majorHAnsi"/>
                <w:b/>
              </w:rPr>
              <w:t xml:space="preserve"> - Revisión e intercambio (módulo 5 y curso en general)</w:t>
            </w:r>
            <w:r w:rsidR="00156D7C">
              <w:rPr>
                <w:rFonts w:asciiTheme="majorHAnsi" w:hAnsiTheme="majorHAnsi" w:cstheme="majorHAnsi"/>
              </w:rPr>
              <w:br/>
            </w:r>
          </w:p>
          <w:p w14:paraId="74A8AE16" w14:textId="77777777" w:rsidR="00294F49" w:rsidRPr="00156D7C" w:rsidRDefault="00D37927" w:rsidP="00E263E6">
            <w:pPr>
              <w:rPr>
                <w:rFonts w:asciiTheme="majorHAnsi" w:hAnsiTheme="majorHAnsi" w:cstheme="majorHAnsi"/>
              </w:rPr>
            </w:pPr>
            <w:r w:rsidRPr="00D37927">
              <w:rPr>
                <w:rFonts w:asciiTheme="majorHAnsi" w:hAnsiTheme="majorHAnsi" w:cstheme="majorHAnsi"/>
              </w:rPr>
              <w:t xml:space="preserve">La </w:t>
            </w:r>
            <w:r w:rsidRPr="00156D7C">
              <w:rPr>
                <w:rFonts w:asciiTheme="majorHAnsi" w:hAnsiTheme="majorHAnsi" w:cstheme="majorHAnsi"/>
                <w:b/>
              </w:rPr>
              <w:t>me</w:t>
            </w:r>
            <w:r w:rsidR="0057046C" w:rsidRPr="00156D7C">
              <w:rPr>
                <w:rFonts w:asciiTheme="majorHAnsi" w:hAnsiTheme="majorHAnsi" w:cstheme="majorHAnsi"/>
                <w:b/>
              </w:rPr>
              <w:t>todología de enseñanza</w:t>
            </w:r>
            <w:r w:rsidR="0057046C">
              <w:rPr>
                <w:rFonts w:asciiTheme="majorHAnsi" w:hAnsiTheme="majorHAnsi" w:cstheme="majorHAnsi"/>
              </w:rPr>
              <w:t xml:space="preserve"> prevé clases asincrónicas</w:t>
            </w:r>
            <w:r w:rsidR="00156D7C">
              <w:rPr>
                <w:rFonts w:asciiTheme="majorHAnsi" w:hAnsiTheme="majorHAnsi" w:cstheme="majorHAnsi"/>
              </w:rPr>
              <w:t xml:space="preserve"> y sincrónicas. Las asincrónicas incluirán exposiciones</w:t>
            </w:r>
            <w:r w:rsidRPr="00D37927">
              <w:rPr>
                <w:rFonts w:asciiTheme="majorHAnsi" w:hAnsiTheme="majorHAnsi" w:cstheme="majorHAnsi"/>
              </w:rPr>
              <w:t xml:space="preserve"> docente</w:t>
            </w:r>
            <w:r w:rsidR="00156D7C">
              <w:rPr>
                <w:rFonts w:asciiTheme="majorHAnsi" w:hAnsiTheme="majorHAnsi" w:cstheme="majorHAnsi"/>
              </w:rPr>
              <w:t>s grabadas</w:t>
            </w:r>
            <w:r w:rsidR="0057046C">
              <w:rPr>
                <w:rFonts w:asciiTheme="majorHAnsi" w:hAnsiTheme="majorHAnsi" w:cstheme="majorHAnsi"/>
              </w:rPr>
              <w:t xml:space="preserve"> en video, presentaciones </w:t>
            </w:r>
            <w:r w:rsidRPr="00D37927">
              <w:rPr>
                <w:rFonts w:asciiTheme="majorHAnsi" w:hAnsiTheme="majorHAnsi" w:cstheme="majorHAnsi"/>
              </w:rPr>
              <w:t>dinámicas y recursos bibliográficos, de audio</w:t>
            </w:r>
            <w:r w:rsidR="00156D7C">
              <w:rPr>
                <w:rFonts w:asciiTheme="majorHAnsi" w:hAnsiTheme="majorHAnsi" w:cstheme="majorHAnsi"/>
              </w:rPr>
              <w:t>, audiovisuales y de internet, en tanto las sincrónicas promoverán el despeje de dudas y el intercambio dialógico. Asimismo, se utilizarán plataformas sociales en internet (específicamente Twitter) para evaluar el avance de los estudiantes en materia de contenidos.</w:t>
            </w:r>
          </w:p>
        </w:tc>
      </w:tr>
    </w:tbl>
    <w:p w14:paraId="4E7C267E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3dy6vkm" w:colFirst="0" w:colLast="0"/>
      <w:bookmarkEnd w:id="6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3822B5" w:rsidRPr="006838B3" w14:paraId="31412E57" w14:textId="77777777" w:rsidTr="00D324D5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D9AED" w14:textId="77777777" w:rsidR="003822B5" w:rsidRDefault="003822B5" w:rsidP="00D324D5">
            <w:pPr>
              <w:jc w:val="both"/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La bibliografía que usamos en el curso, la enviamos en formato *.</w:t>
            </w:r>
            <w:proofErr w:type="spellStart"/>
            <w:r w:rsidRPr="003822B5">
              <w:rPr>
                <w:rFonts w:asciiTheme="majorHAnsi" w:hAnsiTheme="majorHAnsi" w:cstheme="majorHAnsi"/>
              </w:rPr>
              <w:t>pdf</w:t>
            </w:r>
            <w:proofErr w:type="spellEnd"/>
            <w:r w:rsidR="00BA48F7">
              <w:rPr>
                <w:rFonts w:asciiTheme="majorHAnsi" w:hAnsiTheme="majorHAnsi" w:cstheme="majorHAnsi"/>
              </w:rPr>
              <w:t xml:space="preserve"> en tanto se sugiere otra bibliografía de interés</w:t>
            </w:r>
            <w:r w:rsidR="00E263E6">
              <w:rPr>
                <w:rFonts w:asciiTheme="majorHAnsi" w:hAnsiTheme="majorHAnsi" w:cstheme="majorHAnsi"/>
              </w:rPr>
              <w:t>,</w:t>
            </w:r>
            <w:r w:rsidR="00BA48F7">
              <w:rPr>
                <w:rFonts w:asciiTheme="majorHAnsi" w:hAnsiTheme="majorHAnsi" w:cstheme="majorHAnsi"/>
              </w:rPr>
              <w:t xml:space="preserve"> incluida en este apartado.</w:t>
            </w:r>
            <w:r w:rsidRPr="003822B5">
              <w:rPr>
                <w:rFonts w:asciiTheme="majorHAnsi" w:hAnsiTheme="majorHAnsi" w:cstheme="majorHAnsi"/>
              </w:rPr>
              <w:t xml:space="preserve"> Dado que son temas de actualización constante, </w:t>
            </w:r>
            <w:r w:rsidR="00AF2659">
              <w:rPr>
                <w:rFonts w:asciiTheme="majorHAnsi" w:hAnsiTheme="majorHAnsi" w:cstheme="majorHAnsi"/>
              </w:rPr>
              <w:t xml:space="preserve">el listado </w:t>
            </w:r>
            <w:r w:rsidR="00E263E6">
              <w:rPr>
                <w:rFonts w:asciiTheme="majorHAnsi" w:hAnsiTheme="majorHAnsi" w:cstheme="majorHAnsi"/>
              </w:rPr>
              <w:t xml:space="preserve">será actualizado en el </w:t>
            </w:r>
            <w:r w:rsidR="00AF2659">
              <w:rPr>
                <w:rFonts w:asciiTheme="majorHAnsi" w:hAnsiTheme="majorHAnsi" w:cstheme="majorHAnsi"/>
              </w:rPr>
              <w:t>momento de dictar el curso.</w:t>
            </w:r>
          </w:p>
          <w:p w14:paraId="4F8D1FD5" w14:textId="77777777" w:rsidR="00BA48F7" w:rsidRPr="00BA48F7" w:rsidRDefault="00BA48F7" w:rsidP="00BA48F7">
            <w:pPr>
              <w:jc w:val="both"/>
              <w:rPr>
                <w:rFonts w:asciiTheme="majorHAnsi" w:hAnsiTheme="majorHAnsi" w:cstheme="majorHAnsi"/>
              </w:rPr>
            </w:pPr>
            <w:r w:rsidRPr="00BA48F7">
              <w:rPr>
                <w:rFonts w:asciiTheme="majorHAnsi" w:hAnsiTheme="majorHAnsi" w:cstheme="majorHAnsi"/>
              </w:rPr>
              <w:t>Ed. BROWNW, Rodrigo y del Valle Carlos (2020): COVID19 - Comunicación en tiempos de pandemia. Ed. UFRO.</w:t>
            </w:r>
          </w:p>
          <w:p w14:paraId="740B0EE2" w14:textId="77777777" w:rsidR="00BA48F7" w:rsidRPr="00BA48F7" w:rsidRDefault="00BA48F7" w:rsidP="00BA48F7">
            <w:pPr>
              <w:jc w:val="both"/>
              <w:rPr>
                <w:rFonts w:asciiTheme="majorHAnsi" w:hAnsiTheme="majorHAnsi" w:cstheme="majorHAnsi"/>
              </w:rPr>
            </w:pPr>
            <w:r w:rsidRPr="00BA48F7">
              <w:rPr>
                <w:rFonts w:asciiTheme="majorHAnsi" w:hAnsiTheme="majorHAnsi" w:cstheme="majorHAnsi"/>
              </w:rPr>
              <w:t>Coordinadores GUTIERREZ RUBÍ, Antoni y PONT SORRIBES, Carles (2020): Comunicación Política en tiempos de coronavirus. Ed. Cátedra Ideograma de Comunicación Política. Barcelona.</w:t>
            </w:r>
          </w:p>
          <w:p w14:paraId="6746F281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ESKIVEL, Daniel (2015): Comunicación Política en Redes Sociales, disponible en maquiaveloyfreud.com </w:t>
            </w:r>
          </w:p>
          <w:p w14:paraId="27D22930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FARA, Carlos y DÁVALOS LÓPEZ, Alfredo (</w:t>
            </w:r>
            <w:proofErr w:type="spellStart"/>
            <w:r w:rsidRPr="003822B5">
              <w:rPr>
                <w:rFonts w:asciiTheme="majorHAnsi" w:hAnsiTheme="majorHAnsi" w:cstheme="majorHAnsi"/>
              </w:rPr>
              <w:t>comp.</w:t>
            </w:r>
            <w:proofErr w:type="spellEnd"/>
            <w:r w:rsidRPr="003822B5">
              <w:rPr>
                <w:rFonts w:asciiTheme="majorHAnsi" w:hAnsiTheme="majorHAnsi" w:cstheme="majorHAnsi"/>
              </w:rPr>
              <w:t>) (2014): Comunicación Política 3D. Ed. Asociación Latinoamericana de Consultores Políticos. Quito, Ecuador.</w:t>
            </w:r>
          </w:p>
          <w:p w14:paraId="4482E69C" w14:textId="77777777" w:rsid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GUTIERREZ RUBI, Antoni (2014): </w:t>
            </w:r>
            <w:proofErr w:type="spellStart"/>
            <w:r w:rsidRPr="003822B5">
              <w:rPr>
                <w:rFonts w:asciiTheme="majorHAnsi" w:hAnsiTheme="majorHAnsi" w:cstheme="majorHAnsi"/>
              </w:rPr>
              <w:t>Tecnopolítica</w:t>
            </w:r>
            <w:proofErr w:type="spellEnd"/>
            <w:r w:rsidRPr="003822B5">
              <w:rPr>
                <w:rFonts w:asciiTheme="majorHAnsi" w:hAnsiTheme="majorHAnsi" w:cstheme="majorHAnsi"/>
              </w:rPr>
              <w:t>. Ed. de autor. Barcelona.</w:t>
            </w:r>
          </w:p>
          <w:p w14:paraId="6CD5D625" w14:textId="77777777" w:rsidR="00E263E6" w:rsidRDefault="00E263E6" w:rsidP="00E26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IZUZQUIZA MARTÍN, Francisco (2019): El gran cuaderno de </w:t>
            </w:r>
            <w:proofErr w:type="spellStart"/>
            <w:r>
              <w:rPr>
                <w:rFonts w:asciiTheme="majorHAnsi" w:hAnsiTheme="majorHAnsi" w:cstheme="majorHAnsi"/>
              </w:rPr>
              <w:t>Podcasting</w:t>
            </w:r>
            <w:proofErr w:type="spellEnd"/>
            <w:r>
              <w:rPr>
                <w:rFonts w:asciiTheme="majorHAnsi" w:hAnsiTheme="majorHAnsi" w:cstheme="majorHAnsi"/>
              </w:rPr>
              <w:t xml:space="preserve">. Cómo crear, difundir y monetizar tu podcast. Ed. </w:t>
            </w:r>
            <w:proofErr w:type="spellStart"/>
            <w:r>
              <w:rPr>
                <w:rFonts w:asciiTheme="majorHAnsi" w:hAnsiTheme="majorHAnsi" w:cstheme="majorHAnsi"/>
              </w:rPr>
              <w:t>Kailas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  <w:p w14:paraId="628543B9" w14:textId="77777777" w:rsid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LAKOFF, GEORGE (2004): No pienses en un elefante. Lenguaje y debate político. Ed. Complutense.</w:t>
            </w:r>
          </w:p>
          <w:p w14:paraId="2D83FAD5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MORELLI, Silvina (2020). Comunicación Política Hoy. </w:t>
            </w:r>
            <w:proofErr w:type="spellStart"/>
            <w:r w:rsidRPr="003822B5">
              <w:rPr>
                <w:rFonts w:asciiTheme="majorHAnsi" w:hAnsiTheme="majorHAnsi" w:cstheme="majorHAnsi"/>
              </w:rPr>
              <w:t>Ugerman</w:t>
            </w:r>
            <w:proofErr w:type="spellEnd"/>
            <w:r w:rsidRPr="003822B5">
              <w:rPr>
                <w:rFonts w:asciiTheme="majorHAnsi" w:hAnsiTheme="majorHAnsi" w:cstheme="majorHAnsi"/>
              </w:rPr>
              <w:t xml:space="preserve"> Editor. Buenos Aires, Argentina.</w:t>
            </w:r>
          </w:p>
          <w:p w14:paraId="3B3A8310" w14:textId="77777777" w:rsid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MORELLI, Silvina R. (2017): Gestión, Política y Comunicación, Buenas prácticas en la implementación de proyectos municipales. </w:t>
            </w:r>
            <w:proofErr w:type="spellStart"/>
            <w:r w:rsidRPr="003822B5">
              <w:rPr>
                <w:rFonts w:asciiTheme="majorHAnsi" w:hAnsiTheme="majorHAnsi" w:cstheme="majorHAnsi"/>
              </w:rPr>
              <w:t>Ugerman</w:t>
            </w:r>
            <w:proofErr w:type="spellEnd"/>
            <w:r w:rsidRPr="003822B5">
              <w:rPr>
                <w:rFonts w:asciiTheme="majorHAnsi" w:hAnsiTheme="majorHAnsi" w:cstheme="majorHAnsi"/>
              </w:rPr>
              <w:t xml:space="preserve"> Editor. Buenos Aires, Argentina.</w:t>
            </w:r>
          </w:p>
          <w:p w14:paraId="4EC2D3CE" w14:textId="77777777" w:rsidR="00E263E6" w:rsidRDefault="00E263E6" w:rsidP="00E263E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PÉREZ DE PEDRO, J. compilador (2010): </w:t>
            </w:r>
            <w:proofErr w:type="spellStart"/>
            <w:r w:rsidRPr="003822B5">
              <w:rPr>
                <w:rFonts w:asciiTheme="majorHAnsi" w:hAnsiTheme="majorHAnsi" w:cstheme="majorHAnsi"/>
              </w:rPr>
              <w:t>Podcasting</w:t>
            </w:r>
            <w:proofErr w:type="spellEnd"/>
            <w:r w:rsidRPr="003822B5">
              <w:rPr>
                <w:rFonts w:asciiTheme="majorHAnsi" w:hAnsiTheme="majorHAnsi" w:cstheme="majorHAnsi"/>
              </w:rPr>
              <w:t>. Tú tienes la palabra. Ed. Asociación Podcast.</w:t>
            </w:r>
          </w:p>
          <w:p w14:paraId="23445B42" w14:textId="77777777" w:rsidR="00E263E6" w:rsidRPr="003822B5" w:rsidRDefault="00E263E6" w:rsidP="00E263E6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106DA927" w14:textId="77777777" w:rsidR="00E263E6" w:rsidRDefault="00E263E6" w:rsidP="00E263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ROGER AILES, Jon </w:t>
            </w:r>
            <w:proofErr w:type="spellStart"/>
            <w:r>
              <w:rPr>
                <w:rFonts w:asciiTheme="majorHAnsi" w:hAnsiTheme="majorHAnsi" w:cstheme="majorHAnsi"/>
              </w:rPr>
              <w:t>Kaushar</w:t>
            </w:r>
            <w:proofErr w:type="spellEnd"/>
            <w:r>
              <w:rPr>
                <w:rFonts w:asciiTheme="majorHAnsi" w:hAnsiTheme="majorHAnsi" w:cstheme="majorHAnsi"/>
              </w:rPr>
              <w:t xml:space="preserve"> (2001): Tú eres el mensaje. La comunicación con los demás a través de gestos, la imagen y las palabras.</w:t>
            </w:r>
          </w:p>
          <w:p w14:paraId="59FEFD28" w14:textId="77777777" w:rsidR="00E263E6" w:rsidRDefault="00E263E6" w:rsidP="00D324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--</w:t>
            </w:r>
          </w:p>
          <w:p w14:paraId="2642C605" w14:textId="77777777" w:rsidR="00E263E6" w:rsidRPr="003822B5" w:rsidRDefault="00E263E6" w:rsidP="00E263E6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KOMUNICA: Guía práctica para la comunicación en la agenda local 21. Cuadernos de Trabajo UDAL SAREA 21, N°14, </w:t>
            </w:r>
            <w:proofErr w:type="gramStart"/>
            <w:r w:rsidRPr="003822B5">
              <w:rPr>
                <w:rFonts w:asciiTheme="majorHAnsi" w:hAnsiTheme="majorHAnsi" w:cstheme="majorHAnsi"/>
              </w:rPr>
              <w:t>Enero</w:t>
            </w:r>
            <w:proofErr w:type="gramEnd"/>
            <w:r w:rsidRPr="003822B5">
              <w:rPr>
                <w:rFonts w:asciiTheme="majorHAnsi" w:hAnsiTheme="majorHAnsi" w:cstheme="majorHAnsi"/>
              </w:rPr>
              <w:t xml:space="preserve"> 2012.</w:t>
            </w:r>
          </w:p>
          <w:p w14:paraId="6AB3632A" w14:textId="77777777" w:rsidR="00BA48F7" w:rsidRPr="003822B5" w:rsidRDefault="00BA48F7" w:rsidP="00D324D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MORELLI, Silvina (2021). El mapa no es el territorio. </w:t>
            </w:r>
            <w:proofErr w:type="spellStart"/>
            <w:proofErr w:type="gramStart"/>
            <w:r w:rsidRPr="003822B5">
              <w:rPr>
                <w:rFonts w:asciiTheme="majorHAnsi" w:hAnsiTheme="majorHAnsi" w:cstheme="majorHAnsi"/>
              </w:rPr>
              <w:t>Focoen:i</w:t>
            </w:r>
            <w:proofErr w:type="spellEnd"/>
            <w:proofErr w:type="gramEnd"/>
            <w:r w:rsidRPr="003822B5">
              <w:rPr>
                <w:rFonts w:asciiTheme="majorHAnsi" w:hAnsiTheme="majorHAnsi" w:cstheme="majorHAnsi"/>
              </w:rPr>
              <w:t>, Sección opinión, Agosto 15, 2020. Disponible en</w:t>
            </w:r>
            <w:r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Pr="00FC77DC">
                <w:rPr>
                  <w:rStyle w:val="Hipervnculo"/>
                  <w:rFonts w:asciiTheme="majorHAnsi" w:hAnsiTheme="majorHAnsi" w:cstheme="majorHAnsi"/>
                </w:rPr>
                <w:t>https://focoeni.com/opinion/9257/el-mapa-no-es-el-territorio/</w:t>
              </w:r>
            </w:hyperlink>
          </w:p>
          <w:p w14:paraId="7EF028AE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lastRenderedPageBreak/>
              <w:t xml:space="preserve">MORELLI, Silvina: La comunicación social en el centro del cambio estratégico. </w:t>
            </w:r>
            <w:proofErr w:type="spellStart"/>
            <w:proofErr w:type="gramStart"/>
            <w:r w:rsidRPr="003822B5">
              <w:rPr>
                <w:rFonts w:asciiTheme="majorHAnsi" w:hAnsiTheme="majorHAnsi" w:cstheme="majorHAnsi"/>
              </w:rPr>
              <w:t>Focoen:i</w:t>
            </w:r>
            <w:proofErr w:type="spellEnd"/>
            <w:proofErr w:type="gramEnd"/>
            <w:r w:rsidRPr="003822B5">
              <w:rPr>
                <w:rFonts w:asciiTheme="majorHAnsi" w:hAnsiTheme="majorHAnsi" w:cstheme="majorHAnsi"/>
              </w:rPr>
              <w:t xml:space="preserve">, Sección opinión, Agosto 15, 2020. Disponible en </w:t>
            </w:r>
            <w:hyperlink r:id="rId9" w:history="1">
              <w:r w:rsidRPr="003822B5">
                <w:rPr>
                  <w:rStyle w:val="Hipervnculo"/>
                  <w:rFonts w:asciiTheme="majorHAnsi" w:hAnsiTheme="majorHAnsi" w:cstheme="majorHAnsi"/>
                </w:rPr>
                <w:t>https://focoeni.com/portada/4928/la-comunicacion-social-en-el-centro-del-cambio-estrategico/</w:t>
              </w:r>
            </w:hyperlink>
            <w:r w:rsidRPr="003822B5">
              <w:rPr>
                <w:rFonts w:asciiTheme="majorHAnsi" w:hAnsiTheme="majorHAnsi" w:cstheme="majorHAnsi"/>
              </w:rPr>
              <w:t xml:space="preserve"> </w:t>
            </w:r>
          </w:p>
          <w:p w14:paraId="5E55A707" w14:textId="77777777" w:rsidR="00E263E6" w:rsidRDefault="003822B5" w:rsidP="00E263E6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 xml:space="preserve">MORELLI, Silvina: Manipulación discursiva en tiempos de </w:t>
            </w:r>
            <w:proofErr w:type="spellStart"/>
            <w:r w:rsidRPr="003822B5">
              <w:rPr>
                <w:rFonts w:asciiTheme="majorHAnsi" w:hAnsiTheme="majorHAnsi" w:cstheme="majorHAnsi"/>
              </w:rPr>
              <w:t>Covid</w:t>
            </w:r>
            <w:proofErr w:type="spellEnd"/>
            <w:r w:rsidRPr="003822B5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proofErr w:type="gramStart"/>
            <w:r w:rsidRPr="003822B5">
              <w:rPr>
                <w:rFonts w:asciiTheme="majorHAnsi" w:hAnsiTheme="majorHAnsi" w:cstheme="majorHAnsi"/>
              </w:rPr>
              <w:t>Focoen:i</w:t>
            </w:r>
            <w:proofErr w:type="spellEnd"/>
            <w:proofErr w:type="gramEnd"/>
            <w:r w:rsidRPr="003822B5">
              <w:rPr>
                <w:rFonts w:asciiTheme="majorHAnsi" w:hAnsiTheme="majorHAnsi" w:cstheme="majorHAnsi"/>
              </w:rPr>
              <w:t xml:space="preserve">, Sección opinión, julio 24, 2020. Disponible en </w:t>
            </w:r>
            <w:hyperlink r:id="rId10" w:history="1">
              <w:r w:rsidRPr="003822B5">
                <w:rPr>
                  <w:rStyle w:val="Hipervnculo"/>
                  <w:rFonts w:asciiTheme="majorHAnsi" w:hAnsiTheme="majorHAnsi" w:cstheme="majorHAnsi"/>
                </w:rPr>
                <w:t>https://focoeni.com/opinion/4522/manipulacion-discursiva-en-tiempos-de-covid-19/</w:t>
              </w:r>
            </w:hyperlink>
            <w:r w:rsidRPr="003822B5">
              <w:rPr>
                <w:rFonts w:asciiTheme="majorHAnsi" w:hAnsiTheme="majorHAnsi" w:cstheme="majorHAnsi"/>
              </w:rPr>
              <w:t xml:space="preserve"> </w:t>
            </w:r>
          </w:p>
          <w:p w14:paraId="16F58F49" w14:textId="77777777" w:rsidR="003822B5" w:rsidRPr="003822B5" w:rsidRDefault="003822B5" w:rsidP="00D324D5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REVISTA LA TECLA (24/5/2020): Comunicación en pandemia.</w:t>
            </w:r>
          </w:p>
          <w:p w14:paraId="6586B1E4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ROCÍO ANNUNZIATA, ANDREA ARIZA Y VALERIA MARCH (2017): Gobernar es estar cerca. Las estrategias de proximidad en el uso de las redes sociales de Mauricio Macri y María Eugenia Vidal. En Revista Mexicana de Opinión Pública. Año 13, núm. 24, enero-junio de 2018.</w:t>
            </w:r>
          </w:p>
          <w:p w14:paraId="7B6377E1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RIORDA, Mario (2017): Redes para gobernar. Una mirada de América Latina. Revista Sociedad, N°269, mayo-junio de 2017.</w:t>
            </w:r>
          </w:p>
          <w:p w14:paraId="31FADCD7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SEYMOUR, JOHN y O´CONNOR, JOSEPH (2007): Introducción a la Programación Neurolingüística. Ed. Urano.</w:t>
            </w:r>
          </w:p>
          <w:p w14:paraId="7FF6DF5F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ZUAZO, Natalia (2015): Guerras de Internet, Un viaje al centro de la red para entender cómo afecta tu vida, Ed. Debate. Buenos Aires, Argentina.</w:t>
            </w:r>
          </w:p>
          <w:p w14:paraId="3CE4335A" w14:textId="77777777" w:rsidR="003822B5" w:rsidRPr="003822B5" w:rsidRDefault="003822B5" w:rsidP="00D324D5">
            <w:pPr>
              <w:rPr>
                <w:rFonts w:asciiTheme="majorHAnsi" w:hAnsiTheme="majorHAnsi" w:cstheme="majorHAnsi"/>
              </w:rPr>
            </w:pPr>
            <w:r w:rsidRPr="003822B5">
              <w:rPr>
                <w:rFonts w:asciiTheme="majorHAnsi" w:hAnsiTheme="majorHAnsi" w:cstheme="majorHAnsi"/>
              </w:rPr>
              <w:t>Fichas y presentaciones de cátedra.</w:t>
            </w:r>
          </w:p>
          <w:p w14:paraId="1992D6A5" w14:textId="77777777" w:rsidR="003822B5" w:rsidRPr="00A30D0F" w:rsidRDefault="003822B5" w:rsidP="00D324D5">
            <w:pPr>
              <w:rPr>
                <w:rFonts w:ascii="Arial" w:hAnsi="Arial" w:cs="Arial"/>
              </w:rPr>
            </w:pPr>
            <w:r w:rsidRPr="003822B5">
              <w:rPr>
                <w:rFonts w:asciiTheme="majorHAnsi" w:hAnsiTheme="majorHAnsi" w:cstheme="majorHAnsi"/>
              </w:rPr>
              <w:t>Sitios de interés y consulta de datos:</w:t>
            </w:r>
            <w:r w:rsidRPr="003822B5">
              <w:rPr>
                <w:rFonts w:asciiTheme="majorHAnsi" w:hAnsiTheme="majorHAnsi" w:cstheme="majorHAnsi"/>
              </w:rPr>
              <w:br/>
              <w:t xml:space="preserve">Observatorio de internet en Argentina: </w:t>
            </w:r>
            <w:hyperlink r:id="rId11" w:history="1">
              <w:r w:rsidRPr="003822B5">
                <w:rPr>
                  <w:rStyle w:val="Hipervnculo"/>
                  <w:rFonts w:asciiTheme="majorHAnsi" w:hAnsiTheme="majorHAnsi" w:cstheme="majorHAnsi"/>
                </w:rPr>
                <w:t>https://inter.net.ar/</w:t>
              </w:r>
            </w:hyperlink>
            <w:r w:rsidRPr="003822B5">
              <w:rPr>
                <w:rFonts w:asciiTheme="majorHAnsi" w:hAnsiTheme="majorHAnsi" w:cstheme="majorHAnsi"/>
              </w:rPr>
              <w:t xml:space="preserve">  </w:t>
            </w:r>
            <w:r w:rsidRPr="003822B5">
              <w:rPr>
                <w:rFonts w:asciiTheme="majorHAnsi" w:hAnsiTheme="majorHAnsi" w:cstheme="majorHAnsi"/>
              </w:rPr>
              <w:br/>
            </w:r>
            <w:proofErr w:type="spellStart"/>
            <w:r w:rsidRPr="003822B5">
              <w:rPr>
                <w:rFonts w:asciiTheme="majorHAnsi" w:hAnsiTheme="majorHAnsi" w:cstheme="majorHAnsi"/>
              </w:rPr>
              <w:t>Latinobarómetro</w:t>
            </w:r>
            <w:proofErr w:type="spellEnd"/>
            <w:r w:rsidRPr="003822B5">
              <w:rPr>
                <w:rFonts w:asciiTheme="majorHAnsi" w:hAnsiTheme="majorHAnsi" w:cstheme="majorHAnsi"/>
              </w:rPr>
              <w:t xml:space="preserve"> - Opinión Pública Latinoamericana: </w:t>
            </w:r>
            <w:hyperlink r:id="rId12" w:history="1">
              <w:r w:rsidRPr="003822B5">
                <w:rPr>
                  <w:rStyle w:val="Hipervnculo"/>
                  <w:rFonts w:asciiTheme="majorHAnsi" w:hAnsiTheme="majorHAnsi" w:cstheme="majorHAnsi"/>
                </w:rPr>
                <w:t>https://www.latinobarometro.org/lat.jsp</w:t>
              </w:r>
            </w:hyperlink>
            <w:r w:rsidRPr="003822B5">
              <w:rPr>
                <w:rFonts w:asciiTheme="majorHAnsi" w:hAnsiTheme="majorHAnsi" w:cstheme="majorHAnsi"/>
              </w:rPr>
              <w:t xml:space="preserve"> </w:t>
            </w:r>
            <w:r w:rsidRPr="003822B5">
              <w:rPr>
                <w:rFonts w:asciiTheme="majorHAnsi" w:hAnsiTheme="majorHAnsi" w:cstheme="majorHAnsi"/>
              </w:rPr>
              <w:br/>
              <w:t xml:space="preserve">Observatorios de Argentina: </w:t>
            </w:r>
            <w:hyperlink r:id="rId13" w:history="1">
              <w:r w:rsidRPr="003822B5">
                <w:rPr>
                  <w:rStyle w:val="Hipervnculo"/>
                  <w:rFonts w:asciiTheme="majorHAnsi" w:hAnsiTheme="majorHAnsi" w:cstheme="majorHAnsi"/>
                </w:rPr>
                <w:t>https://www.argentina.gob.ar/inadi/observatorios</w:t>
              </w:r>
            </w:hyperlink>
            <w:r w:rsidRPr="003822B5">
              <w:rPr>
                <w:rFonts w:asciiTheme="majorHAnsi" w:hAnsiTheme="majorHAnsi" w:cstheme="majorHAnsi"/>
              </w:rPr>
              <w:br/>
              <w:t xml:space="preserve">Ente Nacional de Comunicaciones: </w:t>
            </w:r>
            <w:hyperlink r:id="rId14" w:history="1">
              <w:r w:rsidRPr="003822B5">
                <w:rPr>
                  <w:rStyle w:val="Hipervnculo"/>
                  <w:rFonts w:asciiTheme="majorHAnsi" w:hAnsiTheme="majorHAnsi" w:cstheme="majorHAnsi"/>
                </w:rPr>
                <w:t>https://www.enacom.gob.ar/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2C9B9480" w14:textId="77777777" w:rsidR="00E263E6" w:rsidRDefault="00E263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679CC49F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294F49" w14:paraId="01377BB9" w14:textId="77777777">
        <w:trPr>
          <w:cantSplit/>
          <w:tblHeader/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FE49A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9D72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1EC6B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294F49" w14:paraId="2BA7062D" w14:textId="77777777">
        <w:trPr>
          <w:cantSplit/>
          <w:tblHeader/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1A2F" w14:textId="77777777" w:rsidR="00294F49" w:rsidRDefault="0029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5CD6" w14:textId="77777777" w:rsidR="00294F49" w:rsidRDefault="00196D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D41EE" w14:textId="77777777" w:rsidR="00294F49" w:rsidRDefault="00294F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1A4C776" w14:textId="77777777" w:rsidR="00E263E6" w:rsidRDefault="00E263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byp9i53gzqjn" w:colFirst="0" w:colLast="0"/>
      <w:bookmarkEnd w:id="7"/>
    </w:p>
    <w:p w14:paraId="6984CEE9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17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8505"/>
      </w:tblGrid>
      <w:tr w:rsidR="00AF2659" w14:paraId="5245B928" w14:textId="77777777" w:rsidTr="00AF2659">
        <w:trPr>
          <w:cantSplit/>
          <w:tblHeader/>
        </w:trPr>
        <w:tc>
          <w:tcPr>
            <w:tcW w:w="8505" w:type="dxa"/>
          </w:tcPr>
          <w:p w14:paraId="2702A0B4" w14:textId="77777777" w:rsidR="00AF2659" w:rsidRPr="006838B3" w:rsidRDefault="00AF2659" w:rsidP="00E263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Asistencia a las tres clases sincrónicas. Participación activa en las </w:t>
            </w:r>
            <w:r w:rsidRPr="006838B3">
              <w:rPr>
                <w:rFonts w:ascii="Arial" w:hAnsi="Arial" w:cs="Arial"/>
              </w:rPr>
              <w:t>clase</w:t>
            </w:r>
            <w:r>
              <w:rPr>
                <w:rFonts w:ascii="Arial" w:hAnsi="Arial" w:cs="Arial"/>
              </w:rPr>
              <w:t>s sincrónicas</w:t>
            </w:r>
            <w:r w:rsidRPr="006838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donde </w:t>
            </w:r>
            <w:r w:rsidR="00E263E6">
              <w:rPr>
                <w:rFonts w:ascii="Arial" w:hAnsi="Arial" w:cs="Arial"/>
              </w:rPr>
              <w:t xml:space="preserve">evaluaremos el compromiso con </w:t>
            </w:r>
            <w:r>
              <w:rPr>
                <w:rFonts w:ascii="Arial" w:hAnsi="Arial" w:cs="Arial"/>
              </w:rPr>
              <w:t xml:space="preserve">los contenidos (manejo de conceptos, </w:t>
            </w:r>
            <w:r w:rsidRPr="006838B3">
              <w:rPr>
                <w:rFonts w:ascii="Arial" w:hAnsi="Arial" w:cs="Arial"/>
              </w:rPr>
              <w:t xml:space="preserve">expresión, </w:t>
            </w:r>
            <w:r>
              <w:rPr>
                <w:rFonts w:ascii="Arial" w:hAnsi="Arial" w:cs="Arial"/>
              </w:rPr>
              <w:t>p</w:t>
            </w:r>
            <w:r w:rsidRPr="006838B3">
              <w:rPr>
                <w:rFonts w:ascii="Arial" w:hAnsi="Arial" w:cs="Arial"/>
              </w:rPr>
              <w:t>uesta en común y la creatividad</w:t>
            </w:r>
            <w:r>
              <w:rPr>
                <w:rFonts w:ascii="Arial" w:hAnsi="Arial" w:cs="Arial"/>
              </w:rPr>
              <w:t xml:space="preserve"> en la resolución de </w:t>
            </w:r>
            <w:r w:rsidRPr="006838B3">
              <w:rPr>
                <w:rFonts w:ascii="Arial" w:hAnsi="Arial" w:cs="Arial"/>
              </w:rPr>
              <w:t>consignas</w:t>
            </w:r>
            <w:r>
              <w:rPr>
                <w:rFonts w:ascii="Arial" w:hAnsi="Arial" w:cs="Arial"/>
              </w:rPr>
              <w:t>).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BEDFC" w14:textId="77777777" w:rsidR="00AF2659" w:rsidRDefault="00AF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57DD20DA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r>
        <w:rPr>
          <w:b/>
          <w:color w:val="000000"/>
          <w:sz w:val="32"/>
          <w:szCs w:val="32"/>
        </w:rPr>
        <w:t>9. DURACIÓN</w:t>
      </w:r>
    </w:p>
    <w:tbl>
      <w:tblPr>
        <w:tblStyle w:val="aff3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294F49" w14:paraId="59A7BB09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2258F" w14:textId="77777777" w:rsidR="00294F49" w:rsidRDefault="0019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294F49" w14:paraId="4AE82E32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F2B2E" w14:textId="77777777" w:rsidR="00294F49" w:rsidRDefault="0019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294F49" w14:paraId="689E3734" w14:textId="77777777">
        <w:trPr>
          <w:cantSplit/>
          <w:trHeight w:val="703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4AEB0" w14:textId="1FF26657" w:rsidR="00E023B0" w:rsidRDefault="00AF2659" w:rsidP="00F73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 horas</w:t>
            </w:r>
          </w:p>
        </w:tc>
      </w:tr>
      <w:tr w:rsidR="00294F49" w14:paraId="018F06AD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8B89C" w14:textId="77777777" w:rsidR="00294F49" w:rsidRDefault="00196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CANTIDAD DE CLASES TOTALES</w:t>
            </w:r>
          </w:p>
        </w:tc>
      </w:tr>
      <w:tr w:rsidR="00294F49" w14:paraId="7F1C7201" w14:textId="77777777">
        <w:trPr>
          <w:cantSplit/>
          <w:trHeight w:val="420"/>
          <w:tblHeader/>
          <w:jc w:val="center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FD1B1" w14:textId="77777777" w:rsidR="00294F49" w:rsidRDefault="00AF2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clases de 3 horas</w:t>
            </w:r>
          </w:p>
        </w:tc>
      </w:tr>
      <w:tr w:rsidR="00294F49" w14:paraId="716D2A34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E7B97" w14:textId="77777777" w:rsidR="00294F49" w:rsidRDefault="00196D27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AE800A2" w14:textId="77777777" w:rsidR="00294F49" w:rsidRDefault="00196D27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294F49" w14:paraId="17B2F9D3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1304" w14:textId="77777777" w:rsidR="00294F49" w:rsidRDefault="00AF2659">
            <w:pPr>
              <w:jc w:val="both"/>
              <w:rPr>
                <w:b/>
              </w:rPr>
            </w:pPr>
            <w:r>
              <w:rPr>
                <w:b/>
              </w:rPr>
              <w:t>3 clases de 3 horas aprox.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3954" w14:textId="77777777" w:rsidR="00294F49" w:rsidRDefault="00AF2659">
            <w:pPr>
              <w:jc w:val="center"/>
              <w:rPr>
                <w:b/>
              </w:rPr>
            </w:pPr>
            <w:r>
              <w:rPr>
                <w:b/>
              </w:rPr>
              <w:t>5 asincrónicas de 3 horas aprox.</w:t>
            </w:r>
          </w:p>
        </w:tc>
      </w:tr>
    </w:tbl>
    <w:p w14:paraId="1427BDDA" w14:textId="77777777" w:rsidR="00294F49" w:rsidRDefault="00196D27">
      <w:pPr>
        <w:keepNext/>
        <w:keepLines/>
        <w:spacing w:before="360" w:after="80"/>
      </w:pPr>
      <w:bookmarkStart w:id="8" w:name="_heading=h.3rdcrjn" w:colFirst="0" w:colLast="0"/>
      <w:bookmarkStart w:id="9" w:name="_heading=h.iqray0pxjkqz" w:colFirst="0" w:colLast="0"/>
      <w:bookmarkStart w:id="10" w:name="_heading=h.hmimm9kutepq" w:colFirst="0" w:colLast="0"/>
      <w:bookmarkEnd w:id="8"/>
      <w:bookmarkEnd w:id="9"/>
      <w:bookmarkEnd w:id="10"/>
      <w:r>
        <w:rPr>
          <w:b/>
          <w:sz w:val="32"/>
          <w:szCs w:val="32"/>
        </w:rPr>
        <w:t>9.1. Días y horarios tentativos de dictado</w:t>
      </w:r>
    </w:p>
    <w:tbl>
      <w:tblPr>
        <w:tblStyle w:val="aff4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294F49" w14:paraId="0C68859D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B0892" w14:textId="77777777" w:rsidR="00294F49" w:rsidRDefault="00196D27">
            <w:pPr>
              <w:jc w:val="center"/>
            </w:pPr>
            <w:r>
              <w:rPr>
                <w:b/>
              </w:rPr>
              <w:t>Días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6374A19A" w14:textId="77777777" w:rsidR="00294F49" w:rsidRDefault="00196D27">
            <w:pPr>
              <w:jc w:val="center"/>
              <w:rPr>
                <w:b/>
              </w:rPr>
            </w:pPr>
            <w:r>
              <w:rPr>
                <w:b/>
              </w:rPr>
              <w:t>Horarios</w:t>
            </w:r>
          </w:p>
        </w:tc>
      </w:tr>
      <w:tr w:rsidR="00294F49" w14:paraId="3407821E" w14:textId="77777777">
        <w:trPr>
          <w:cantSplit/>
          <w:trHeight w:val="151"/>
          <w:tblHeader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A8465" w14:textId="77777777" w:rsidR="00294F49" w:rsidRDefault="00AF2659">
            <w:pPr>
              <w:jc w:val="both"/>
              <w:rPr>
                <w:b/>
              </w:rPr>
            </w:pPr>
            <w:r>
              <w:rPr>
                <w:b/>
              </w:rPr>
              <w:t xml:space="preserve">Sábados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DE8B" w14:textId="77777777" w:rsidR="00294F49" w:rsidRDefault="00AF2659">
            <w:pPr>
              <w:jc w:val="center"/>
              <w:rPr>
                <w:b/>
              </w:rPr>
            </w:pPr>
            <w:r>
              <w:rPr>
                <w:b/>
              </w:rPr>
              <w:t>10 a 13 horas</w:t>
            </w:r>
          </w:p>
        </w:tc>
      </w:tr>
    </w:tbl>
    <w:p w14:paraId="1F178A0C" w14:textId="77777777" w:rsidR="00E263E6" w:rsidRDefault="00E263E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1" w:name="_heading=h.v397gy8wbsc7" w:colFirst="0" w:colLast="0"/>
      <w:bookmarkEnd w:id="11"/>
    </w:p>
    <w:p w14:paraId="6517BD55" w14:textId="77777777" w:rsidR="00294F49" w:rsidRDefault="00196D2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5"/>
        <w:tblW w:w="170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  <w:gridCol w:w="8505"/>
      </w:tblGrid>
      <w:tr w:rsidR="00AF2659" w14:paraId="18D738AC" w14:textId="77777777" w:rsidTr="00AF2659">
        <w:trPr>
          <w:cantSplit/>
          <w:tblHeader/>
        </w:trPr>
        <w:tc>
          <w:tcPr>
            <w:tcW w:w="8505" w:type="dxa"/>
          </w:tcPr>
          <w:p w14:paraId="5AC750F3" w14:textId="77777777" w:rsidR="00AF2659" w:rsidRPr="00AF2659" w:rsidRDefault="00AF2659" w:rsidP="00D324D5">
            <w:pPr>
              <w:jc w:val="both"/>
              <w:rPr>
                <w:rFonts w:asciiTheme="majorHAnsi" w:hAnsiTheme="majorHAnsi" w:cstheme="majorHAnsi"/>
              </w:rPr>
            </w:pPr>
            <w:r w:rsidRPr="00AF2659">
              <w:rPr>
                <w:rFonts w:asciiTheme="majorHAnsi" w:hAnsiTheme="majorHAnsi" w:cstheme="majorHAnsi"/>
              </w:rPr>
              <w:t xml:space="preserve">Estudiar o haber estudiado ciencias sociales. </w:t>
            </w:r>
          </w:p>
          <w:p w14:paraId="2B7969C6" w14:textId="77777777" w:rsidR="00AF2659" w:rsidRPr="00AF2659" w:rsidRDefault="00AF2659" w:rsidP="00D324D5">
            <w:pPr>
              <w:jc w:val="both"/>
              <w:rPr>
                <w:rFonts w:asciiTheme="majorHAnsi" w:hAnsiTheme="majorHAnsi" w:cstheme="majorHAnsi"/>
              </w:rPr>
            </w:pPr>
            <w:r w:rsidRPr="00AF2659">
              <w:rPr>
                <w:rFonts w:asciiTheme="majorHAnsi" w:hAnsiTheme="majorHAnsi" w:cstheme="majorHAnsi"/>
              </w:rPr>
              <w:t>Trabajar en el ámbito público o político, en el área de comunicación.</w:t>
            </w:r>
          </w:p>
          <w:p w14:paraId="6BDB8F31" w14:textId="77777777" w:rsidR="00AF2659" w:rsidRPr="00AF2659" w:rsidRDefault="00AF2659" w:rsidP="00D324D5">
            <w:pPr>
              <w:jc w:val="both"/>
              <w:rPr>
                <w:rFonts w:asciiTheme="majorHAnsi" w:hAnsiTheme="majorHAnsi" w:cstheme="majorHAnsi"/>
              </w:rPr>
            </w:pPr>
            <w:r w:rsidRPr="00AF2659">
              <w:rPr>
                <w:rFonts w:asciiTheme="majorHAnsi" w:hAnsiTheme="majorHAnsi" w:cstheme="majorHAnsi"/>
              </w:rPr>
              <w:t>Ser funcionario, candidato o asesor político.</w:t>
            </w:r>
          </w:p>
          <w:p w14:paraId="611148D4" w14:textId="77777777" w:rsidR="00AF2659" w:rsidRPr="00AF2659" w:rsidRDefault="00AF2659" w:rsidP="00D324D5">
            <w:pPr>
              <w:pStyle w:val="Normal1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  <w:r w:rsidRPr="00AF2659">
              <w:rPr>
                <w:rFonts w:asciiTheme="majorHAnsi" w:hAnsiTheme="majorHAnsi" w:cstheme="majorHAnsi"/>
              </w:rPr>
              <w:t>Estar interesado en las temáticas de abordaje de esta formación profesional.</w:t>
            </w:r>
          </w:p>
          <w:p w14:paraId="6F23DAEF" w14:textId="77777777" w:rsidR="00AF2659" w:rsidRPr="00AF2659" w:rsidRDefault="00AF2659" w:rsidP="00D324D5">
            <w:pPr>
              <w:pStyle w:val="Normal1"/>
              <w:widowControl w:val="0"/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E92" w14:textId="77777777" w:rsidR="00AF2659" w:rsidRDefault="00AF26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13A5EBF7" w14:textId="77777777" w:rsidR="00294F49" w:rsidRDefault="00294F49">
      <w:pPr>
        <w:pBdr>
          <w:top w:val="nil"/>
          <w:left w:val="nil"/>
          <w:bottom w:val="nil"/>
          <w:right w:val="nil"/>
          <w:between w:val="nil"/>
        </w:pBdr>
        <w:spacing w:after="0"/>
        <w:ind w:left="-142"/>
        <w:jc w:val="center"/>
        <w:rPr>
          <w:color w:val="000000"/>
        </w:rPr>
      </w:pPr>
    </w:p>
    <w:p w14:paraId="27DA289F" w14:textId="77777777" w:rsidR="00AF2659" w:rsidRDefault="00AF2659">
      <w:pPr>
        <w:pBdr>
          <w:top w:val="nil"/>
          <w:left w:val="nil"/>
          <w:bottom w:val="nil"/>
          <w:right w:val="nil"/>
          <w:between w:val="nil"/>
        </w:pBdr>
        <w:ind w:left="-114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12" w:name="_heading=h.44sinio" w:colFirst="0" w:colLast="0"/>
      <w:bookmarkEnd w:id="12"/>
    </w:p>
    <w:sectPr w:rsidR="00AF2659" w:rsidSect="00294F49">
      <w:headerReference w:type="default" r:id="rId15"/>
      <w:footerReference w:type="default" r:id="rId16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B271" w14:textId="77777777" w:rsidR="005E1026" w:rsidRDefault="005E1026" w:rsidP="00294F49">
      <w:pPr>
        <w:spacing w:after="0" w:line="240" w:lineRule="auto"/>
      </w:pPr>
      <w:r>
        <w:separator/>
      </w:r>
    </w:p>
  </w:endnote>
  <w:endnote w:type="continuationSeparator" w:id="0">
    <w:p w14:paraId="6647D668" w14:textId="77777777" w:rsidR="005E1026" w:rsidRDefault="005E1026" w:rsidP="00294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3C0A" w14:textId="77777777" w:rsidR="00294F49" w:rsidRDefault="00294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0B9C4399" w14:textId="77777777" w:rsidR="00294F49" w:rsidRDefault="005E10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1F5E0210">
        <v:rect id="_x0000_i1025" style="width:0;height:1.5pt" o:hralign="center" o:hrstd="t" o:hr="t" fillcolor="#a0a0a0" stroked="f"/>
      </w:pict>
    </w:r>
  </w:p>
  <w:p w14:paraId="04D9F0B8" w14:textId="77777777" w:rsidR="00294F49" w:rsidRDefault="00196D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7481E292" wp14:editId="35DDF52C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7356AC">
      <w:rPr>
        <w:color w:val="000000"/>
      </w:rPr>
      <w:fldChar w:fldCharType="begin"/>
    </w:r>
    <w:r>
      <w:rPr>
        <w:color w:val="000000"/>
      </w:rPr>
      <w:instrText>PAGE</w:instrText>
    </w:r>
    <w:r w:rsidR="007356AC">
      <w:rPr>
        <w:color w:val="000000"/>
      </w:rPr>
      <w:fldChar w:fldCharType="separate"/>
    </w:r>
    <w:r w:rsidR="00E023B0">
      <w:rPr>
        <w:noProof/>
        <w:color w:val="000000"/>
      </w:rPr>
      <w:t>6</w:t>
    </w:r>
    <w:r w:rsidR="007356AC">
      <w:rPr>
        <w:color w:val="000000"/>
      </w:rPr>
      <w:fldChar w:fldCharType="end"/>
    </w:r>
    <w:r>
      <w:rPr>
        <w:color w:val="000000"/>
      </w:rPr>
      <w:t>/</w:t>
    </w:r>
    <w:r w:rsidR="007356AC">
      <w:rPr>
        <w:color w:val="000000"/>
      </w:rPr>
      <w:fldChar w:fldCharType="begin"/>
    </w:r>
    <w:r>
      <w:rPr>
        <w:color w:val="000000"/>
      </w:rPr>
      <w:instrText>NUMPAGES</w:instrText>
    </w:r>
    <w:r w:rsidR="007356AC">
      <w:rPr>
        <w:color w:val="000000"/>
      </w:rPr>
      <w:fldChar w:fldCharType="separate"/>
    </w:r>
    <w:r w:rsidR="00E023B0">
      <w:rPr>
        <w:noProof/>
        <w:color w:val="000000"/>
      </w:rPr>
      <w:t>8</w:t>
    </w:r>
    <w:r w:rsidR="007356AC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9C33" w14:textId="77777777" w:rsidR="005E1026" w:rsidRDefault="005E1026" w:rsidP="00294F49">
      <w:pPr>
        <w:spacing w:after="0" w:line="240" w:lineRule="auto"/>
      </w:pPr>
      <w:r>
        <w:separator/>
      </w:r>
    </w:p>
  </w:footnote>
  <w:footnote w:type="continuationSeparator" w:id="0">
    <w:p w14:paraId="4E3E1C50" w14:textId="77777777" w:rsidR="005E1026" w:rsidRDefault="005E1026" w:rsidP="00294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8CA" w14:textId="77777777" w:rsidR="00294F49" w:rsidRDefault="00196D2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s-ES"/>
      </w:rPr>
      <w:drawing>
        <wp:anchor distT="0" distB="0" distL="0" distR="0" simplePos="0" relativeHeight="251658240" behindDoc="1" locked="0" layoutInCell="1" allowOverlap="1" wp14:anchorId="1D611806" wp14:editId="30E369C9">
          <wp:simplePos x="0" y="0"/>
          <wp:positionH relativeFrom="page">
            <wp:align>right</wp:align>
          </wp:positionH>
          <wp:positionV relativeFrom="page">
            <wp:posOffset>-237489</wp:posOffset>
          </wp:positionV>
          <wp:extent cx="7648575" cy="127272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41A6F9" w14:textId="77777777" w:rsidR="00294F49" w:rsidRDefault="00294F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3" w:name="_heading=h.z337ya" w:colFirst="0" w:colLast="0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A4BA8"/>
    <w:multiLevelType w:val="hybridMultilevel"/>
    <w:tmpl w:val="2F727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06D3E"/>
    <w:multiLevelType w:val="multilevel"/>
    <w:tmpl w:val="78B4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49"/>
    <w:rsid w:val="00085529"/>
    <w:rsid w:val="00156D7C"/>
    <w:rsid w:val="00196D27"/>
    <w:rsid w:val="002850FB"/>
    <w:rsid w:val="00294F49"/>
    <w:rsid w:val="003822B5"/>
    <w:rsid w:val="004C310A"/>
    <w:rsid w:val="0057046C"/>
    <w:rsid w:val="005E1026"/>
    <w:rsid w:val="007356AC"/>
    <w:rsid w:val="00800E5F"/>
    <w:rsid w:val="008669B8"/>
    <w:rsid w:val="00AF2659"/>
    <w:rsid w:val="00BA48F7"/>
    <w:rsid w:val="00D37927"/>
    <w:rsid w:val="00E023B0"/>
    <w:rsid w:val="00E263E6"/>
    <w:rsid w:val="00F03B3D"/>
    <w:rsid w:val="00F7136C"/>
    <w:rsid w:val="00F7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BD527"/>
  <w15:docId w15:val="{9BABBEA0-1DD6-40ED-A95D-EF0D707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49"/>
  </w:style>
  <w:style w:type="paragraph" w:styleId="Ttulo1">
    <w:name w:val="heading 1"/>
    <w:basedOn w:val="Normal"/>
    <w:next w:val="Normal"/>
    <w:uiPriority w:val="9"/>
    <w:qFormat/>
    <w:rsid w:val="00294F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94F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94F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94F4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94F4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94F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94F49"/>
  </w:style>
  <w:style w:type="table" w:customStyle="1" w:styleId="TableNormal">
    <w:name w:val="Table Normal"/>
    <w:rsid w:val="00294F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94F4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rsid w:val="00294F49"/>
  </w:style>
  <w:style w:type="table" w:customStyle="1" w:styleId="NormalTable0">
    <w:name w:val="Normal Table0"/>
    <w:rsid w:val="00294F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rsid w:val="00294F49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rsid w:val="00294F49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rsid w:val="00294F49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rsid w:val="00294F49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rsid w:val="00294F49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rsid w:val="00294F49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rsid w:val="00294F4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94F4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rsid w:val="00294F4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4F4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294F4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9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37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oeni.com/opinion/9257/el-mapa-no-es-el-territorio/" TargetMode="External"/><Relationship Id="rId13" Type="http://schemas.openxmlformats.org/officeDocument/2006/relationships/hyperlink" Target="https://www.argentina.gob.ar/inadi/observatori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tinobarometro.org/lat.j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.net.a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coeni.com/opinion/4522/manipulacion-discursiva-en-tiempos-de-covid-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coeni.com/portada/4928/la-comunicacion-social-en-el-centro-del-cambio-estrategico/" TargetMode="External"/><Relationship Id="rId14" Type="http://schemas.openxmlformats.org/officeDocument/2006/relationships/hyperlink" Target="https://www.enacom.gob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+LbGhxbKGl0yrMSJOdmh5flJ7Ov8Pwk51bmJWRBcmjeQgSUFZ9XhGN21Fc/rbcmrq8jAjnbxiGSLonP9V8gQKw7svN3xS9v4R/Sa33m9bdbGSisyGkL7pXo6O8mi1sVDzVR4Zan0CiNDjXJxuKlgWGUhB/7C4mNB2L2d6H5gnTJsLjvXBvBAl6AZofmpGdQO+OxbBW0b5nfygbEuwel+mFy4tenAtSZ20rTUhTFEUtJmz17yfDQquuz0P11bGhjZPTb/k2/GUOb7gGCjwJS/Tv9jgCxjlBaZixykjZyHGd1PGYfsfQMtlwryh0qoB8rQdBQHVERFbwvG4kdNBvjGMFKwdxCuTLwqHk6pZayB+tMkhm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1350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</dc:creator>
  <cp:lastModifiedBy>Pedro nicolas Valci</cp:lastModifiedBy>
  <cp:revision>7</cp:revision>
  <dcterms:created xsi:type="dcterms:W3CDTF">2021-09-28T15:38:00Z</dcterms:created>
  <dcterms:modified xsi:type="dcterms:W3CDTF">2022-03-25T16:08:00Z</dcterms:modified>
</cp:coreProperties>
</file>