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4E1E" w14:textId="77777777" w:rsidR="00A758B9" w:rsidRDefault="00A758B9">
      <w:pPr>
        <w:keepNext/>
        <w:keepLines/>
        <w:pBdr>
          <w:top w:val="nil"/>
          <w:left w:val="nil"/>
          <w:bottom w:val="nil"/>
          <w:right w:val="nil"/>
          <w:between w:val="nil"/>
        </w:pBdr>
        <w:spacing w:before="480" w:after="120"/>
        <w:jc w:val="center"/>
        <w:rPr>
          <w:b/>
          <w:color w:val="000000"/>
          <w:sz w:val="36"/>
          <w:szCs w:val="36"/>
        </w:rPr>
      </w:pPr>
      <w:bookmarkStart w:id="0" w:name="_heading=h.gjdgxs" w:colFirst="0" w:colLast="0"/>
      <w:bookmarkEnd w:id="0"/>
    </w:p>
    <w:p w14:paraId="42077A70" w14:textId="77777777" w:rsidR="00A758B9" w:rsidRDefault="00AD2B27">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36"/>
          <w:szCs w:val="36"/>
        </w:rPr>
      </w:pPr>
      <w:r>
        <w:rPr>
          <w:b/>
          <w:color w:val="000000"/>
          <w:sz w:val="36"/>
          <w:szCs w:val="36"/>
        </w:rPr>
        <w:t>PRESENTACIÓN DE PROPUESTAS</w:t>
      </w:r>
    </w:p>
    <w:p w14:paraId="33F0F49A" w14:textId="77777777" w:rsidR="00A758B9" w:rsidRDefault="00AD2B27">
      <w:pPr>
        <w:keepNext/>
        <w:keepLines/>
        <w:pBdr>
          <w:top w:val="nil"/>
          <w:left w:val="nil"/>
          <w:bottom w:val="nil"/>
          <w:right w:val="nil"/>
          <w:between w:val="nil"/>
        </w:pBdr>
        <w:spacing w:before="480" w:after="0"/>
        <w:rPr>
          <w:b/>
          <w:color w:val="000000"/>
          <w:sz w:val="36"/>
          <w:szCs w:val="36"/>
        </w:rPr>
      </w:pPr>
      <w:bookmarkStart w:id="1" w:name="_heading=h.30j0zll" w:colFirst="0" w:colLast="0"/>
      <w:bookmarkEnd w:id="1"/>
      <w:r>
        <w:rPr>
          <w:b/>
          <w:color w:val="000000"/>
          <w:sz w:val="36"/>
          <w:szCs w:val="36"/>
        </w:rPr>
        <w:t>1. TÍTULO DEL CURSO</w:t>
      </w:r>
    </w:p>
    <w:tbl>
      <w:tblPr>
        <w:tblStyle w:val="aff8"/>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758B9" w14:paraId="048B9FC4" w14:textId="77777777">
        <w:tc>
          <w:tcPr>
            <w:tcW w:w="8505" w:type="dxa"/>
            <w:shd w:val="clear" w:color="auto" w:fill="auto"/>
            <w:tcMar>
              <w:top w:w="100" w:type="dxa"/>
              <w:left w:w="100" w:type="dxa"/>
              <w:bottom w:w="100" w:type="dxa"/>
              <w:right w:w="100" w:type="dxa"/>
            </w:tcMar>
          </w:tcPr>
          <w:p w14:paraId="3DE49096" w14:textId="77777777" w:rsidR="00A758B9" w:rsidRDefault="00AD2B27">
            <w:pPr>
              <w:widowControl w:val="0"/>
              <w:pBdr>
                <w:top w:val="nil"/>
                <w:left w:val="nil"/>
                <w:bottom w:val="nil"/>
                <w:right w:val="nil"/>
                <w:between w:val="nil"/>
              </w:pBdr>
              <w:spacing w:after="0" w:line="240" w:lineRule="auto"/>
              <w:jc w:val="center"/>
              <w:rPr>
                <w:color w:val="000000"/>
              </w:rPr>
            </w:pPr>
            <w:r>
              <w:rPr>
                <w:b/>
              </w:rPr>
              <w:t>Políticas públicas ambientales</w:t>
            </w:r>
          </w:p>
        </w:tc>
      </w:tr>
    </w:tbl>
    <w:p w14:paraId="7B7CCA70" w14:textId="77777777" w:rsidR="00A758B9" w:rsidRDefault="00AD2B27">
      <w:pPr>
        <w:keepNext/>
        <w:keepLines/>
        <w:pBdr>
          <w:top w:val="nil"/>
          <w:left w:val="nil"/>
          <w:bottom w:val="nil"/>
          <w:right w:val="nil"/>
          <w:between w:val="nil"/>
        </w:pBdr>
        <w:spacing w:before="480" w:after="120"/>
        <w:rPr>
          <w:b/>
          <w:color w:val="000000"/>
          <w:sz w:val="36"/>
          <w:szCs w:val="36"/>
        </w:rPr>
      </w:pPr>
      <w:bookmarkStart w:id="2" w:name="_heading=h.1fob9te" w:colFirst="0" w:colLast="0"/>
      <w:bookmarkEnd w:id="2"/>
      <w:r>
        <w:rPr>
          <w:b/>
          <w:color w:val="000000"/>
          <w:sz w:val="36"/>
          <w:szCs w:val="36"/>
        </w:rPr>
        <w:t>2. DOCENTE A CARGO Y EQUIPO DOCENTE</w:t>
      </w:r>
    </w:p>
    <w:tbl>
      <w:tblPr>
        <w:tblStyle w:val="aff9"/>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A758B9" w14:paraId="1E4059A9" w14:textId="77777777">
        <w:trPr>
          <w:jc w:val="center"/>
        </w:trPr>
        <w:tc>
          <w:tcPr>
            <w:tcW w:w="4252" w:type="dxa"/>
            <w:shd w:val="clear" w:color="auto" w:fill="999999"/>
            <w:tcMar>
              <w:top w:w="100" w:type="dxa"/>
              <w:left w:w="100" w:type="dxa"/>
              <w:bottom w:w="100" w:type="dxa"/>
              <w:right w:w="100" w:type="dxa"/>
            </w:tcMar>
            <w:vAlign w:val="center"/>
          </w:tcPr>
          <w:p w14:paraId="7D6F1947" w14:textId="77777777" w:rsidR="00A758B9" w:rsidRDefault="00AD2B27">
            <w:pPr>
              <w:widowControl w:val="0"/>
              <w:pBdr>
                <w:top w:val="nil"/>
                <w:left w:val="nil"/>
                <w:bottom w:val="nil"/>
                <w:right w:val="nil"/>
                <w:between w:val="nil"/>
              </w:pBdr>
              <w:spacing w:after="0" w:line="240" w:lineRule="auto"/>
              <w:rPr>
                <w:b/>
                <w:color w:val="000000"/>
              </w:rPr>
            </w:pPr>
            <w:r>
              <w:rPr>
                <w:b/>
                <w:color w:val="000000"/>
              </w:rPr>
              <w:t>APELLIDO Y NOMBRE</w:t>
            </w:r>
          </w:p>
        </w:tc>
        <w:tc>
          <w:tcPr>
            <w:tcW w:w="4253" w:type="dxa"/>
            <w:shd w:val="clear" w:color="auto" w:fill="auto"/>
            <w:tcMar>
              <w:top w:w="100" w:type="dxa"/>
              <w:left w:w="100" w:type="dxa"/>
              <w:bottom w:w="100" w:type="dxa"/>
              <w:right w:w="100" w:type="dxa"/>
            </w:tcMar>
          </w:tcPr>
          <w:p w14:paraId="2A29BCE5" w14:textId="77777777" w:rsidR="00A758B9" w:rsidRDefault="00A758B9">
            <w:pPr>
              <w:widowControl w:val="0"/>
              <w:pBdr>
                <w:top w:val="nil"/>
                <w:left w:val="nil"/>
                <w:bottom w:val="nil"/>
                <w:right w:val="nil"/>
                <w:between w:val="nil"/>
              </w:pBdr>
              <w:spacing w:after="0" w:line="240" w:lineRule="auto"/>
              <w:rPr>
                <w:color w:val="000000"/>
              </w:rPr>
            </w:pPr>
          </w:p>
        </w:tc>
      </w:tr>
      <w:tr w:rsidR="00A758B9" w14:paraId="392AFF46" w14:textId="77777777">
        <w:trPr>
          <w:jc w:val="center"/>
        </w:trPr>
        <w:tc>
          <w:tcPr>
            <w:tcW w:w="4252" w:type="dxa"/>
            <w:shd w:val="clear" w:color="auto" w:fill="999999"/>
            <w:tcMar>
              <w:top w:w="100" w:type="dxa"/>
              <w:left w:w="100" w:type="dxa"/>
              <w:bottom w:w="100" w:type="dxa"/>
              <w:right w:w="100" w:type="dxa"/>
            </w:tcMar>
            <w:vAlign w:val="center"/>
          </w:tcPr>
          <w:p w14:paraId="25BC7247" w14:textId="77777777" w:rsidR="00A758B9" w:rsidRDefault="00AD2B27">
            <w:pPr>
              <w:widowControl w:val="0"/>
              <w:spacing w:after="0" w:line="240" w:lineRule="auto"/>
              <w:rPr>
                <w:b/>
              </w:rPr>
            </w:pPr>
            <w:r>
              <w:rPr>
                <w:b/>
              </w:rPr>
              <w:t>Peralta, Natacha</w:t>
            </w:r>
          </w:p>
        </w:tc>
        <w:tc>
          <w:tcPr>
            <w:tcW w:w="4253" w:type="dxa"/>
            <w:shd w:val="clear" w:color="auto" w:fill="auto"/>
            <w:tcMar>
              <w:top w:w="100" w:type="dxa"/>
              <w:left w:w="100" w:type="dxa"/>
              <w:bottom w:w="100" w:type="dxa"/>
              <w:right w:w="100" w:type="dxa"/>
            </w:tcMar>
          </w:tcPr>
          <w:p w14:paraId="4978C504" w14:textId="77777777" w:rsidR="00A758B9" w:rsidRDefault="00AD2B27">
            <w:pPr>
              <w:widowControl w:val="0"/>
              <w:spacing w:after="0" w:line="240" w:lineRule="auto"/>
            </w:pPr>
            <w:r>
              <w:t>Titular</w:t>
            </w:r>
          </w:p>
        </w:tc>
      </w:tr>
      <w:tr w:rsidR="00A758B9" w14:paraId="4036EB7B" w14:textId="77777777">
        <w:trPr>
          <w:jc w:val="center"/>
        </w:trPr>
        <w:tc>
          <w:tcPr>
            <w:tcW w:w="4252" w:type="dxa"/>
            <w:shd w:val="clear" w:color="auto" w:fill="999999"/>
            <w:tcMar>
              <w:top w:w="100" w:type="dxa"/>
              <w:left w:w="100" w:type="dxa"/>
              <w:bottom w:w="100" w:type="dxa"/>
              <w:right w:w="100" w:type="dxa"/>
            </w:tcMar>
            <w:vAlign w:val="center"/>
          </w:tcPr>
          <w:p w14:paraId="418FEB95" w14:textId="77777777" w:rsidR="00A758B9" w:rsidRDefault="00AD2B27">
            <w:pPr>
              <w:widowControl w:val="0"/>
              <w:spacing w:after="0" w:line="240" w:lineRule="auto"/>
              <w:rPr>
                <w:b/>
              </w:rPr>
            </w:pPr>
            <w:proofErr w:type="spellStart"/>
            <w:r>
              <w:rPr>
                <w:b/>
              </w:rPr>
              <w:t>Zumalave</w:t>
            </w:r>
            <w:proofErr w:type="spellEnd"/>
            <w:r>
              <w:rPr>
                <w:b/>
              </w:rPr>
              <w:t xml:space="preserve"> Rey, Beatriz </w:t>
            </w:r>
          </w:p>
        </w:tc>
        <w:tc>
          <w:tcPr>
            <w:tcW w:w="4253" w:type="dxa"/>
            <w:shd w:val="clear" w:color="auto" w:fill="auto"/>
            <w:tcMar>
              <w:top w:w="100" w:type="dxa"/>
              <w:left w:w="100" w:type="dxa"/>
              <w:bottom w:w="100" w:type="dxa"/>
              <w:right w:w="100" w:type="dxa"/>
            </w:tcMar>
          </w:tcPr>
          <w:p w14:paraId="494D9416" w14:textId="77777777" w:rsidR="00A758B9" w:rsidRDefault="00AD2B27">
            <w:pPr>
              <w:widowControl w:val="0"/>
              <w:spacing w:after="0" w:line="240" w:lineRule="auto"/>
            </w:pPr>
            <w:r>
              <w:t>Adjunta</w:t>
            </w:r>
          </w:p>
        </w:tc>
      </w:tr>
      <w:tr w:rsidR="00A758B9" w14:paraId="7D0C1938" w14:textId="77777777">
        <w:trPr>
          <w:jc w:val="center"/>
        </w:trPr>
        <w:tc>
          <w:tcPr>
            <w:tcW w:w="4252" w:type="dxa"/>
            <w:shd w:val="clear" w:color="auto" w:fill="999999"/>
            <w:tcMar>
              <w:top w:w="100" w:type="dxa"/>
              <w:left w:w="100" w:type="dxa"/>
              <w:bottom w:w="100" w:type="dxa"/>
              <w:right w:w="100" w:type="dxa"/>
            </w:tcMar>
            <w:vAlign w:val="center"/>
          </w:tcPr>
          <w:p w14:paraId="15F49F35" w14:textId="77777777" w:rsidR="00A758B9" w:rsidRDefault="00AD2B27">
            <w:pPr>
              <w:widowControl w:val="0"/>
              <w:spacing w:after="0" w:line="240" w:lineRule="auto"/>
              <w:rPr>
                <w:b/>
              </w:rPr>
            </w:pPr>
            <w:r>
              <w:rPr>
                <w:b/>
              </w:rPr>
              <w:t xml:space="preserve">González </w:t>
            </w:r>
            <w:proofErr w:type="spellStart"/>
            <w:r>
              <w:rPr>
                <w:b/>
              </w:rPr>
              <w:t>Ricco</w:t>
            </w:r>
            <w:proofErr w:type="spellEnd"/>
            <w:r>
              <w:rPr>
                <w:b/>
              </w:rPr>
              <w:t xml:space="preserve">, Cecilia </w:t>
            </w:r>
          </w:p>
        </w:tc>
        <w:tc>
          <w:tcPr>
            <w:tcW w:w="4253" w:type="dxa"/>
            <w:shd w:val="clear" w:color="auto" w:fill="auto"/>
            <w:tcMar>
              <w:top w:w="100" w:type="dxa"/>
              <w:left w:w="100" w:type="dxa"/>
              <w:bottom w:w="100" w:type="dxa"/>
              <w:right w:w="100" w:type="dxa"/>
            </w:tcMar>
          </w:tcPr>
          <w:p w14:paraId="648C7FB4" w14:textId="77777777" w:rsidR="00A758B9" w:rsidRDefault="00AD2B27">
            <w:pPr>
              <w:widowControl w:val="0"/>
              <w:spacing w:after="0" w:line="240" w:lineRule="auto"/>
            </w:pPr>
            <w:r>
              <w:t>Adjunta</w:t>
            </w:r>
          </w:p>
        </w:tc>
      </w:tr>
    </w:tbl>
    <w:p w14:paraId="54306AB6" w14:textId="77777777" w:rsidR="00A758B9" w:rsidRDefault="00AD2B27">
      <w:pPr>
        <w:keepNext/>
        <w:keepLines/>
        <w:pBdr>
          <w:top w:val="nil"/>
          <w:left w:val="nil"/>
          <w:bottom w:val="nil"/>
          <w:right w:val="nil"/>
          <w:between w:val="nil"/>
        </w:pBdr>
        <w:spacing w:before="480" w:after="120"/>
        <w:rPr>
          <w:b/>
          <w:color w:val="000000"/>
          <w:sz w:val="36"/>
          <w:szCs w:val="36"/>
        </w:rPr>
      </w:pPr>
      <w:bookmarkStart w:id="3" w:name="_heading=h.3znysh7" w:colFirst="0" w:colLast="0"/>
      <w:bookmarkEnd w:id="3"/>
      <w:r>
        <w:rPr>
          <w:b/>
          <w:color w:val="000000"/>
          <w:sz w:val="36"/>
          <w:szCs w:val="36"/>
        </w:rPr>
        <w:t>3. JUSTIFICACIÓN - FUNDAMENTACIÓN</w:t>
      </w:r>
    </w:p>
    <w:tbl>
      <w:tblPr>
        <w:tblStyle w:val="affa"/>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758B9" w14:paraId="57349B23" w14:textId="77777777">
        <w:tc>
          <w:tcPr>
            <w:tcW w:w="8505" w:type="dxa"/>
            <w:shd w:val="clear" w:color="auto" w:fill="auto"/>
            <w:tcMar>
              <w:top w:w="100" w:type="dxa"/>
              <w:left w:w="100" w:type="dxa"/>
              <w:bottom w:w="100" w:type="dxa"/>
              <w:right w:w="100" w:type="dxa"/>
            </w:tcMar>
          </w:tcPr>
          <w:p w14:paraId="607A9B36" w14:textId="77777777" w:rsidR="00A758B9" w:rsidRDefault="00AD2B27">
            <w:pPr>
              <w:widowControl w:val="0"/>
              <w:spacing w:after="0" w:line="240" w:lineRule="auto"/>
            </w:pPr>
            <w:r>
              <w:t xml:space="preserve">El curso propone una introducción a la problemática ambiental a partir de conceptos clave que hacen a su entendimiento: contaminación atmosférica, del agua y del suelo, calidad ambiental. indicadores ambientales, Residuos Sólidos Urbanos y agroquímicos y salud. </w:t>
            </w:r>
          </w:p>
          <w:p w14:paraId="5AA15150" w14:textId="77777777" w:rsidR="00A758B9" w:rsidRDefault="00AD2B27">
            <w:pPr>
              <w:widowControl w:val="0"/>
              <w:spacing w:after="0" w:line="240" w:lineRule="auto"/>
            </w:pPr>
            <w:r>
              <w:t>Sobre esta base, se define el marco legislativo que aplica en Argentina a nivel nacional, subnacional y local, junto a sus interpretaciones, utilizando casos como ejemplos prácticos e ilustradores.</w:t>
            </w:r>
          </w:p>
          <w:p w14:paraId="79B95D13" w14:textId="77777777" w:rsidR="00A758B9" w:rsidRDefault="00AD2B27">
            <w:pPr>
              <w:widowControl w:val="0"/>
              <w:pBdr>
                <w:top w:val="nil"/>
                <w:left w:val="nil"/>
                <w:bottom w:val="nil"/>
                <w:right w:val="nil"/>
                <w:between w:val="nil"/>
              </w:pBdr>
              <w:spacing w:after="0" w:line="240" w:lineRule="auto"/>
              <w:jc w:val="both"/>
            </w:pPr>
            <w:r>
              <w:t>Por último, el contenido se abocará al abordaje de la sostenibilidad, explicando la relación entre cuidado del ambiente y crecimiento, el rol municipal en el desarrollo de ciudades sostenibles, cómo gestionar y buenas prácticas de gobierno en el tratamiento de RSU, y alternativas para mitigar el cambio climático.</w:t>
            </w:r>
          </w:p>
        </w:tc>
      </w:tr>
    </w:tbl>
    <w:p w14:paraId="183063A9" w14:textId="77777777" w:rsidR="00A758B9" w:rsidRDefault="00AD2B27">
      <w:pPr>
        <w:keepNext/>
        <w:keepLines/>
        <w:pBdr>
          <w:top w:val="nil"/>
          <w:left w:val="nil"/>
          <w:bottom w:val="nil"/>
          <w:right w:val="nil"/>
          <w:between w:val="nil"/>
        </w:pBdr>
        <w:spacing w:before="480" w:after="120"/>
        <w:rPr>
          <w:b/>
          <w:color w:val="000000"/>
          <w:sz w:val="36"/>
          <w:szCs w:val="36"/>
        </w:rPr>
      </w:pPr>
      <w:bookmarkStart w:id="4" w:name="_heading=h.2et92p0" w:colFirst="0" w:colLast="0"/>
      <w:bookmarkEnd w:id="4"/>
      <w:r>
        <w:rPr>
          <w:b/>
          <w:color w:val="000000"/>
          <w:sz w:val="36"/>
          <w:szCs w:val="36"/>
        </w:rPr>
        <w:t>4. OBJETIVOS</w:t>
      </w:r>
    </w:p>
    <w:tbl>
      <w:tblPr>
        <w:tblStyle w:val="affb"/>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758B9" w14:paraId="09973C72" w14:textId="77777777">
        <w:tc>
          <w:tcPr>
            <w:tcW w:w="8505" w:type="dxa"/>
            <w:shd w:val="clear" w:color="auto" w:fill="auto"/>
            <w:tcMar>
              <w:top w:w="100" w:type="dxa"/>
              <w:left w:w="100" w:type="dxa"/>
              <w:bottom w:w="100" w:type="dxa"/>
              <w:right w:w="100" w:type="dxa"/>
            </w:tcMar>
          </w:tcPr>
          <w:p w14:paraId="136C0AFC" w14:textId="77777777" w:rsidR="00A758B9" w:rsidRDefault="00AD2B27">
            <w:pPr>
              <w:widowControl w:val="0"/>
              <w:pBdr>
                <w:top w:val="nil"/>
                <w:left w:val="nil"/>
                <w:bottom w:val="nil"/>
                <w:right w:val="nil"/>
                <w:between w:val="nil"/>
              </w:pBdr>
              <w:spacing w:after="0" w:line="240" w:lineRule="auto"/>
            </w:pPr>
            <w:r>
              <w:rPr>
                <w:color w:val="000000"/>
              </w:rPr>
              <w:t xml:space="preserve"> </w:t>
            </w:r>
            <w:r>
              <w:t xml:space="preserve">El Banco Mundial prevé que en el curso de los próximos 30 años la generación de desechos a nivel global, impulsada por la rápida urbanización y el crecimiento de las poblaciones, aumentará de 2010 millones de toneladas en 2016 a 3.400 millones. A partir del volumen de desechos generados, su composición y la manera en que se gestionan, se estima que en </w:t>
            </w:r>
            <w:r>
              <w:lastRenderedPageBreak/>
              <w:t>2016 el tratamiento y la eliminación de desechos generaron la emisión de 1.600 millones de toneladas de dióxido de carbono, lo que representa alrededor del 5% de las emisiones mundiales.</w:t>
            </w:r>
          </w:p>
          <w:p w14:paraId="32EE2F0D" w14:textId="77777777" w:rsidR="00A758B9" w:rsidRDefault="00AD2B27">
            <w:pPr>
              <w:widowControl w:val="0"/>
              <w:spacing w:after="0" w:line="240" w:lineRule="auto"/>
            </w:pPr>
            <w:r>
              <w:t>Esta aceleración en la producción de desechos y los efectos dañinos al ambiente y a la salud de las personas debido a su incorrecta disposición es ya insoslayable. Nuestro país no es la excepción. Es por ello que, en el marco de lo dispuesto en la Agenda 2030 para el Desarrollo Sostenible, el Estado en todos sus niveles de Gobierno deben asumir políticas públicas que tiendan a la sostenibilidad y cuidado del ambiente.</w:t>
            </w:r>
          </w:p>
          <w:p w14:paraId="768FE6D4" w14:textId="77777777" w:rsidR="00A758B9" w:rsidRDefault="00AD2B27">
            <w:pPr>
              <w:widowControl w:val="0"/>
              <w:pBdr>
                <w:top w:val="nil"/>
                <w:left w:val="nil"/>
                <w:bottom w:val="nil"/>
                <w:right w:val="nil"/>
                <w:between w:val="nil"/>
              </w:pBdr>
              <w:spacing w:after="0" w:line="240" w:lineRule="auto"/>
            </w:pPr>
            <w:r>
              <w:t>Los contenidos abarcados en el curso permiten una mejor comprensión a nivel conceptual de la problemática ambiental, al mismo tiempo que se brindan estadísticas e información que permiten dimensionarla y realizar un correcto acercamiento respecto a dónde se encuentra Argentina en cuanto a políticas públicas ambientales.</w:t>
            </w:r>
          </w:p>
        </w:tc>
      </w:tr>
    </w:tbl>
    <w:p w14:paraId="09F68469" w14:textId="77777777" w:rsidR="00A758B9" w:rsidRDefault="00AD2B27">
      <w:pPr>
        <w:keepNext/>
        <w:keepLines/>
        <w:pBdr>
          <w:top w:val="nil"/>
          <w:left w:val="nil"/>
          <w:bottom w:val="nil"/>
          <w:right w:val="nil"/>
          <w:between w:val="nil"/>
        </w:pBdr>
        <w:spacing w:before="480" w:after="120"/>
        <w:rPr>
          <w:b/>
          <w:color w:val="000000"/>
          <w:sz w:val="36"/>
          <w:szCs w:val="36"/>
        </w:rPr>
      </w:pPr>
      <w:bookmarkStart w:id="5" w:name="_heading=h.tyjcwt" w:colFirst="0" w:colLast="0"/>
      <w:bookmarkEnd w:id="5"/>
      <w:r>
        <w:rPr>
          <w:b/>
          <w:color w:val="000000"/>
          <w:sz w:val="36"/>
          <w:szCs w:val="36"/>
        </w:rPr>
        <w:lastRenderedPageBreak/>
        <w:t>5. PROGRAMA A DESARROLLAR</w:t>
      </w:r>
    </w:p>
    <w:tbl>
      <w:tblPr>
        <w:tblStyle w:val="affc"/>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758B9" w14:paraId="77D4AF69" w14:textId="77777777">
        <w:tc>
          <w:tcPr>
            <w:tcW w:w="8505" w:type="dxa"/>
            <w:shd w:val="clear" w:color="auto" w:fill="auto"/>
            <w:tcMar>
              <w:top w:w="100" w:type="dxa"/>
              <w:left w:w="100" w:type="dxa"/>
              <w:bottom w:w="100" w:type="dxa"/>
              <w:right w:w="100" w:type="dxa"/>
            </w:tcMar>
          </w:tcPr>
          <w:p w14:paraId="51425CF3" w14:textId="77777777" w:rsidR="00A758B9" w:rsidRDefault="00AD2B27">
            <w:pPr>
              <w:widowControl w:val="0"/>
              <w:spacing w:after="0" w:line="240" w:lineRule="auto"/>
            </w:pPr>
            <w:r>
              <w:t xml:space="preserve">Clase 1: Unidad 1 - ¿Qué es la problemática ambiental? Contaminación atmosférica, del agua y del suelo. </w:t>
            </w:r>
          </w:p>
          <w:p w14:paraId="79F4C7F1" w14:textId="77777777" w:rsidR="00A758B9" w:rsidRDefault="00AD2B27">
            <w:pPr>
              <w:widowControl w:val="0"/>
              <w:spacing w:after="0" w:line="240" w:lineRule="auto"/>
            </w:pPr>
            <w:r>
              <w:t xml:space="preserve">Clase 2: Unidad 2 - Legislación. Interpretación y aplicación de Legislación Nacional, Provincial y local con incumbencia ambiental en las matrices Agua, Suelo, Aire y Ruido. Indicadores y casos argentinos. </w:t>
            </w:r>
          </w:p>
          <w:p w14:paraId="3EA75772" w14:textId="77777777" w:rsidR="00A758B9" w:rsidRDefault="00AD2B27">
            <w:pPr>
              <w:widowControl w:val="0"/>
              <w:spacing w:after="0" w:line="240" w:lineRule="auto"/>
            </w:pPr>
            <w:r>
              <w:t>Clase 3: Unidad 3 - Calidad ambiental. Indicadores ambientales. Agroquímicos y salud.</w:t>
            </w:r>
          </w:p>
          <w:p w14:paraId="34D283A9" w14:textId="77777777" w:rsidR="00A758B9" w:rsidRDefault="00AD2B27">
            <w:pPr>
              <w:widowControl w:val="0"/>
              <w:spacing w:after="0" w:line="240" w:lineRule="auto"/>
            </w:pPr>
            <w:r>
              <w:t xml:space="preserve">Clase 4: Unidad 4 - Alternativas para mitigar el cambio climático: suelos drenantes, huertos, jardines en terrazas. </w:t>
            </w:r>
          </w:p>
          <w:p w14:paraId="0B11BCAB" w14:textId="77777777" w:rsidR="00A758B9" w:rsidRDefault="00AD2B27">
            <w:pPr>
              <w:widowControl w:val="0"/>
              <w:spacing w:after="0" w:line="240" w:lineRule="auto"/>
            </w:pPr>
            <w:r>
              <w:t xml:space="preserve">Clase 5: Unidad 5 - Introducción a la Sostenibilidad / sustentabilidad. Cuidado del ambiente, desarrollo sostenible y crecimiento. El rol municipal en el desarrollo de ciudades sustentables. </w:t>
            </w:r>
          </w:p>
          <w:p w14:paraId="427FB088" w14:textId="77777777" w:rsidR="00A758B9" w:rsidRDefault="00AD2B27">
            <w:pPr>
              <w:widowControl w:val="0"/>
              <w:spacing w:after="0" w:line="240" w:lineRule="auto"/>
            </w:pPr>
            <w:r>
              <w:t xml:space="preserve">Clase 6: Unidad 6 - Indicadores para medir el desempeño de la gestión ambiental de los gobiernos locales. </w:t>
            </w:r>
          </w:p>
          <w:p w14:paraId="37A42507" w14:textId="77777777" w:rsidR="00A758B9" w:rsidRDefault="00AD2B27">
            <w:pPr>
              <w:widowControl w:val="0"/>
              <w:spacing w:after="0" w:line="240" w:lineRule="auto"/>
            </w:pPr>
            <w:r>
              <w:t>Clase 7: Unidad 7 - Qué son los Residuos Sólidos Urbanos y cómo gestionarlos. Buenas prácticas de gobierno en el tratamiento de (RSU).</w:t>
            </w:r>
          </w:p>
          <w:p w14:paraId="2F2D4C4B" w14:textId="77777777" w:rsidR="00A758B9" w:rsidRDefault="00AD2B27">
            <w:pPr>
              <w:widowControl w:val="0"/>
              <w:pBdr>
                <w:top w:val="nil"/>
                <w:left w:val="nil"/>
                <w:bottom w:val="nil"/>
                <w:right w:val="nil"/>
                <w:between w:val="nil"/>
              </w:pBdr>
              <w:spacing w:after="0" w:line="240" w:lineRule="auto"/>
            </w:pPr>
            <w:r>
              <w:t>Clase 8: Unidad 8 - Parques agrarios.</w:t>
            </w:r>
          </w:p>
        </w:tc>
      </w:tr>
    </w:tbl>
    <w:p w14:paraId="355A4B01" w14:textId="77777777" w:rsidR="00A758B9" w:rsidRDefault="00AD2B27">
      <w:pPr>
        <w:keepNext/>
        <w:keepLines/>
        <w:pBdr>
          <w:top w:val="nil"/>
          <w:left w:val="nil"/>
          <w:bottom w:val="nil"/>
          <w:right w:val="nil"/>
          <w:between w:val="nil"/>
        </w:pBdr>
        <w:spacing w:before="480" w:after="120"/>
        <w:rPr>
          <w:b/>
          <w:color w:val="000000"/>
          <w:sz w:val="36"/>
          <w:szCs w:val="36"/>
        </w:rPr>
      </w:pPr>
      <w:bookmarkStart w:id="6" w:name="_heading=h.3dy6vkm" w:colFirst="0" w:colLast="0"/>
      <w:bookmarkEnd w:id="6"/>
      <w:r>
        <w:rPr>
          <w:b/>
          <w:color w:val="000000"/>
          <w:sz w:val="36"/>
          <w:szCs w:val="36"/>
        </w:rPr>
        <w:t>6. BIBLIOGRAFÍA</w:t>
      </w:r>
    </w:p>
    <w:tbl>
      <w:tblPr>
        <w:tblStyle w:val="affd"/>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758B9" w14:paraId="5AC770F7" w14:textId="77777777">
        <w:tc>
          <w:tcPr>
            <w:tcW w:w="8505" w:type="dxa"/>
            <w:shd w:val="clear" w:color="auto" w:fill="auto"/>
            <w:tcMar>
              <w:top w:w="100" w:type="dxa"/>
              <w:left w:w="100" w:type="dxa"/>
              <w:bottom w:w="100" w:type="dxa"/>
              <w:right w:w="100" w:type="dxa"/>
            </w:tcMar>
          </w:tcPr>
          <w:p w14:paraId="5466AACC"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Agency </w:t>
            </w:r>
            <w:proofErr w:type="spellStart"/>
            <w:r w:rsidRPr="00B4457F">
              <w:rPr>
                <w:rFonts w:asciiTheme="majorHAnsi" w:hAnsiTheme="majorHAnsi" w:cstheme="majorHAnsi"/>
              </w:rPr>
              <w:t>For</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Research</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On</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Cancer</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Iarc</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The</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Specialized</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Cancer</w:t>
            </w:r>
            <w:proofErr w:type="spellEnd"/>
            <w:r w:rsidRPr="00B4457F">
              <w:rPr>
                <w:rFonts w:asciiTheme="majorHAnsi" w:hAnsiTheme="majorHAnsi" w:cstheme="majorHAnsi"/>
              </w:rPr>
              <w:t xml:space="preserve"> Agency </w:t>
            </w:r>
            <w:proofErr w:type="spellStart"/>
            <w:r w:rsidRPr="00B4457F">
              <w:rPr>
                <w:rFonts w:asciiTheme="majorHAnsi" w:hAnsiTheme="majorHAnsi" w:cstheme="majorHAnsi"/>
              </w:rPr>
              <w:t>Of</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The</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World</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Health</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Organization</w:t>
            </w:r>
            <w:proofErr w:type="spellEnd"/>
            <w:r w:rsidRPr="00B4457F">
              <w:rPr>
                <w:rFonts w:asciiTheme="majorHAnsi" w:hAnsiTheme="majorHAnsi" w:cstheme="majorHAnsi"/>
              </w:rPr>
              <w:t xml:space="preserve">. 2015. </w:t>
            </w:r>
            <w:proofErr w:type="spellStart"/>
            <w:r w:rsidRPr="00B4457F">
              <w:rPr>
                <w:rFonts w:asciiTheme="majorHAnsi" w:hAnsiTheme="majorHAnsi" w:cstheme="majorHAnsi"/>
              </w:rPr>
              <w:t>Evaluation</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of</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five</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organophosphate</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insecticides</w:t>
            </w:r>
            <w:proofErr w:type="spellEnd"/>
            <w:r w:rsidRPr="00B4457F">
              <w:rPr>
                <w:rFonts w:asciiTheme="majorHAnsi" w:hAnsiTheme="majorHAnsi" w:cstheme="majorHAnsi"/>
              </w:rPr>
              <w:t xml:space="preserve"> and </w:t>
            </w:r>
            <w:proofErr w:type="spellStart"/>
            <w:r w:rsidRPr="00B4457F">
              <w:rPr>
                <w:rFonts w:asciiTheme="majorHAnsi" w:hAnsiTheme="majorHAnsi" w:cstheme="majorHAnsi"/>
              </w:rPr>
              <w:t>herbicides</w:t>
            </w:r>
            <w:proofErr w:type="spellEnd"/>
            <w:r w:rsidRPr="00B4457F">
              <w:rPr>
                <w:rFonts w:asciiTheme="majorHAnsi" w:hAnsiTheme="majorHAnsi" w:cstheme="majorHAnsi"/>
              </w:rPr>
              <w:t xml:space="preserve">. 2015. </w:t>
            </w:r>
          </w:p>
          <w:p w14:paraId="01B32DF4"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Anaya </w:t>
            </w:r>
            <w:proofErr w:type="spellStart"/>
            <w:r w:rsidRPr="00B4457F">
              <w:rPr>
                <w:rFonts w:asciiTheme="majorHAnsi" w:hAnsiTheme="majorHAnsi" w:cstheme="majorHAnsi"/>
              </w:rPr>
              <w:t>Garduno</w:t>
            </w:r>
            <w:proofErr w:type="spellEnd"/>
            <w:r w:rsidRPr="00B4457F">
              <w:rPr>
                <w:rFonts w:asciiTheme="majorHAnsi" w:hAnsiTheme="majorHAnsi" w:cstheme="majorHAnsi"/>
              </w:rPr>
              <w:t xml:space="preserve">, Manuel. [et al.] 2016. Agua de calidad con equidad: experiencias, debates y desafíos sobre acceso, tratamiento y uso del agua para la agricultura familiar en América Latina. 1a </w:t>
            </w:r>
            <w:proofErr w:type="spellStart"/>
            <w:proofErr w:type="gramStart"/>
            <w:r w:rsidRPr="00B4457F">
              <w:rPr>
                <w:rFonts w:asciiTheme="majorHAnsi" w:hAnsiTheme="majorHAnsi" w:cstheme="majorHAnsi"/>
              </w:rPr>
              <w:t>ed</w:t>
            </w:r>
            <w:proofErr w:type="spellEnd"/>
            <w:r w:rsidRPr="00B4457F">
              <w:rPr>
                <w:rFonts w:asciiTheme="majorHAnsi" w:hAnsiTheme="majorHAnsi" w:cstheme="majorHAnsi"/>
              </w:rPr>
              <w:t xml:space="preserve"> .</w:t>
            </w:r>
            <w:proofErr w:type="gramEnd"/>
            <w:r w:rsidRPr="00B4457F">
              <w:rPr>
                <w:rFonts w:asciiTheme="majorHAnsi" w:hAnsiTheme="majorHAnsi" w:cstheme="majorHAnsi"/>
              </w:rPr>
              <w:t xml:space="preserve"> - Ciudad Autónoma de Buenos Aires: Ediciones INTA. </w:t>
            </w:r>
          </w:p>
          <w:p w14:paraId="51F694F3"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Aparicio et al. 2015. Los plaguicidas agregados al suelo y su destino en el ambiente. Ediciones INTA. En línea: </w:t>
            </w:r>
            <w:r w:rsidRPr="00B4457F">
              <w:rPr>
                <w:rFonts w:asciiTheme="majorHAnsi" w:hAnsiTheme="majorHAnsi" w:cstheme="majorHAnsi"/>
              </w:rPr>
              <w:lastRenderedPageBreak/>
              <w:t>https://inta.gob.ar/sites/default/files/inta_plaguicidas_agregados_al_suelo_2015.pdf</w:t>
            </w:r>
          </w:p>
          <w:p w14:paraId="7BBD07AA"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Armijo Marianela. 2009. “Lineamientos metodológicos para la construcción de indicadores de desempeño”. Ponencia. “Planificación Estratégica y Construcción de Indicadores de Desempeño en el Sector Público de Costa Rica”. San José, 23 al 27 de noviembre de 2009. Área de Políticas Presupuestarias y Gestión Pública. Dirección General de Presupuesto Nacional. Ministerio de Hacienda. Costa Rica. ILPES/CEPAL. En línea www.cepal.org </w:t>
            </w:r>
          </w:p>
          <w:p w14:paraId="1DDC105A"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Auge, M, Agua, fuente de vida, Facultad de Ciencias Exactas y Naturales Departamento de Ciencias Geológicas, La Plata, 2006.</w:t>
            </w:r>
          </w:p>
          <w:p w14:paraId="1E6C0F75"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Auge, M, Agua Potable y Saneamiento en Argentina, Facultad de Ciencias Exactas y Naturales, Departamento de Ciencias Geológicas, auge@gl.fcen.uba.ar Buenos Aires 2007.</w:t>
            </w:r>
          </w:p>
          <w:p w14:paraId="3299CF46" w14:textId="77777777" w:rsidR="00B4457F" w:rsidRPr="00B4457F" w:rsidRDefault="00B4457F" w:rsidP="00B4457F">
            <w:pPr>
              <w:pStyle w:val="Prrafodelista"/>
              <w:numPr>
                <w:ilvl w:val="0"/>
                <w:numId w:val="1"/>
              </w:numPr>
              <w:jc w:val="both"/>
              <w:rPr>
                <w:rFonts w:asciiTheme="majorHAnsi" w:hAnsiTheme="majorHAnsi" w:cstheme="majorHAnsi"/>
              </w:rPr>
            </w:pPr>
            <w:proofErr w:type="spellStart"/>
            <w:r w:rsidRPr="00B4457F">
              <w:rPr>
                <w:rFonts w:asciiTheme="majorHAnsi" w:hAnsiTheme="majorHAnsi" w:cstheme="majorHAnsi"/>
              </w:rPr>
              <w:t>Barsky</w:t>
            </w:r>
            <w:proofErr w:type="spellEnd"/>
            <w:r w:rsidRPr="00B4457F">
              <w:rPr>
                <w:rFonts w:asciiTheme="majorHAnsi" w:hAnsiTheme="majorHAnsi" w:cstheme="majorHAnsi"/>
              </w:rPr>
              <w:t xml:space="preserve"> A. 2010. Capítulo 1: La agricultura de cercanías a la ciudad y los ciclos del territorio periurbano. Reflexiones sobre el caso de la Región Metropolitana de Buenos Aires. En: SVETLITZA DE NEMIROVSKY Ada (</w:t>
            </w:r>
            <w:proofErr w:type="spellStart"/>
            <w:r w:rsidRPr="00B4457F">
              <w:rPr>
                <w:rFonts w:asciiTheme="majorHAnsi" w:hAnsiTheme="majorHAnsi" w:cstheme="majorHAnsi"/>
              </w:rPr>
              <w:t>comps</w:t>
            </w:r>
            <w:proofErr w:type="spellEnd"/>
            <w:r w:rsidRPr="00B4457F">
              <w:rPr>
                <w:rFonts w:asciiTheme="majorHAnsi" w:hAnsiTheme="majorHAnsi" w:cstheme="majorHAnsi"/>
              </w:rPr>
              <w:t>). Globalización y agricultura periurbana en la Argentina: escenarios, recorridos y problemas. Buenos Aires: FLASCO. Páginas: 15 a 29.</w:t>
            </w:r>
          </w:p>
          <w:p w14:paraId="51B18D1D" w14:textId="77777777" w:rsidR="00B4457F" w:rsidRPr="00B4457F" w:rsidRDefault="00B4457F" w:rsidP="00B4457F">
            <w:pPr>
              <w:pStyle w:val="Prrafodelista"/>
              <w:numPr>
                <w:ilvl w:val="0"/>
                <w:numId w:val="1"/>
              </w:numPr>
              <w:jc w:val="both"/>
              <w:rPr>
                <w:rFonts w:asciiTheme="majorHAnsi" w:hAnsiTheme="majorHAnsi" w:cstheme="majorHAnsi"/>
              </w:rPr>
            </w:pPr>
            <w:proofErr w:type="spellStart"/>
            <w:r w:rsidRPr="00B4457F">
              <w:rPr>
                <w:rFonts w:asciiTheme="majorHAnsi" w:hAnsiTheme="majorHAnsi" w:cstheme="majorHAnsi"/>
              </w:rPr>
              <w:t>Beahín</w:t>
            </w:r>
            <w:proofErr w:type="spellEnd"/>
            <w:r w:rsidRPr="00B4457F">
              <w:rPr>
                <w:rFonts w:asciiTheme="majorHAnsi" w:hAnsiTheme="majorHAnsi" w:cstheme="majorHAnsi"/>
              </w:rPr>
              <w:t xml:space="preserve"> Vázquez. Marcos; Gil Lozano, Nerea &amp; Gago Torrado, Bruno. 2019. Planta De Tratamiento De Residuos Urbanos De </w:t>
            </w:r>
            <w:proofErr w:type="spellStart"/>
            <w:r w:rsidRPr="00B4457F">
              <w:rPr>
                <w:rFonts w:asciiTheme="majorHAnsi" w:hAnsiTheme="majorHAnsi" w:cstheme="majorHAnsi"/>
              </w:rPr>
              <w:t>Nostián</w:t>
            </w:r>
            <w:proofErr w:type="spellEnd"/>
            <w:r w:rsidRPr="00B4457F">
              <w:rPr>
                <w:rFonts w:asciiTheme="majorHAnsi" w:hAnsiTheme="majorHAnsi" w:cstheme="majorHAnsi"/>
              </w:rPr>
              <w:t xml:space="preserve"> (A Coruña). </w:t>
            </w:r>
          </w:p>
          <w:p w14:paraId="237F85D3" w14:textId="77777777" w:rsidR="00B4457F" w:rsidRPr="00B4457F" w:rsidRDefault="00B4457F" w:rsidP="00B4457F">
            <w:pPr>
              <w:pStyle w:val="Prrafodelista"/>
              <w:numPr>
                <w:ilvl w:val="0"/>
                <w:numId w:val="1"/>
              </w:numPr>
              <w:jc w:val="both"/>
              <w:rPr>
                <w:rFonts w:asciiTheme="majorHAnsi" w:hAnsiTheme="majorHAnsi" w:cstheme="majorHAnsi"/>
              </w:rPr>
            </w:pPr>
            <w:proofErr w:type="spellStart"/>
            <w:r w:rsidRPr="00B4457F">
              <w:rPr>
                <w:rFonts w:asciiTheme="majorHAnsi" w:hAnsiTheme="majorHAnsi" w:cstheme="majorHAnsi"/>
              </w:rPr>
              <w:t>Barsky</w:t>
            </w:r>
            <w:proofErr w:type="spellEnd"/>
            <w:r w:rsidRPr="00B4457F">
              <w:rPr>
                <w:rFonts w:asciiTheme="majorHAnsi" w:hAnsiTheme="majorHAnsi" w:cstheme="majorHAnsi"/>
              </w:rPr>
              <w:t xml:space="preserve"> Andrés. 2010 </w:t>
            </w:r>
            <w:proofErr w:type="gramStart"/>
            <w:r w:rsidRPr="00B4457F">
              <w:rPr>
                <w:rFonts w:asciiTheme="majorHAnsi" w:hAnsiTheme="majorHAnsi" w:cstheme="majorHAnsi"/>
              </w:rPr>
              <w:t>Buenos</w:t>
            </w:r>
            <w:proofErr w:type="gramEnd"/>
            <w:r w:rsidRPr="00B4457F">
              <w:rPr>
                <w:rFonts w:asciiTheme="majorHAnsi" w:hAnsiTheme="majorHAnsi" w:cstheme="majorHAnsi"/>
              </w:rPr>
              <w:t xml:space="preserve"> Aires y su organización espacial.  Caracterización de las situaciones ambientales asociadas a la dinámica de las cuencas hidrográficas que atraviesan un territorio metropolitano. Buenos Aires. Universidad Nacional de General Sarmiento. En línea http://www.urbared.ungs.edu.ar </w:t>
            </w:r>
          </w:p>
          <w:p w14:paraId="6E3DC5E4"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 xml:space="preserve">BOTASSI, Carlos, El derecho ambiental en Argentina, Revista de </w:t>
            </w:r>
            <w:proofErr w:type="spellStart"/>
            <w:r w:rsidRPr="00B4457F">
              <w:rPr>
                <w:rFonts w:asciiTheme="majorHAnsi" w:hAnsiTheme="majorHAnsi" w:cstheme="majorHAnsi"/>
              </w:rPr>
              <w:t>Direito</w:t>
            </w:r>
            <w:proofErr w:type="spellEnd"/>
            <w:r w:rsidRPr="00B4457F">
              <w:rPr>
                <w:rFonts w:asciiTheme="majorHAnsi" w:hAnsiTheme="majorHAnsi" w:cstheme="majorHAnsi"/>
              </w:rPr>
              <w:t xml:space="preserve"> Ambiental da Amazónica, jul-</w:t>
            </w:r>
            <w:proofErr w:type="spellStart"/>
            <w:r w:rsidRPr="00B4457F">
              <w:rPr>
                <w:rFonts w:asciiTheme="majorHAnsi" w:hAnsiTheme="majorHAnsi" w:cstheme="majorHAnsi"/>
              </w:rPr>
              <w:t>dez</w:t>
            </w:r>
            <w:proofErr w:type="spellEnd"/>
            <w:r w:rsidRPr="00B4457F">
              <w:rPr>
                <w:rFonts w:asciiTheme="majorHAnsi" w:hAnsiTheme="majorHAnsi" w:cstheme="majorHAnsi"/>
              </w:rPr>
              <w:t>, año 2004.</w:t>
            </w:r>
          </w:p>
          <w:p w14:paraId="52DDBEA7" w14:textId="77777777" w:rsidR="00B4457F" w:rsidRPr="00B4457F" w:rsidRDefault="00B4457F" w:rsidP="00B4457F">
            <w:pPr>
              <w:pStyle w:val="Prrafodelista"/>
              <w:numPr>
                <w:ilvl w:val="0"/>
                <w:numId w:val="1"/>
              </w:numPr>
              <w:jc w:val="both"/>
              <w:rPr>
                <w:rFonts w:asciiTheme="majorHAnsi" w:hAnsiTheme="majorHAnsi" w:cstheme="majorHAnsi"/>
              </w:rPr>
            </w:pPr>
            <w:proofErr w:type="spellStart"/>
            <w:r w:rsidRPr="00B4457F">
              <w:rPr>
                <w:rFonts w:asciiTheme="majorHAnsi" w:hAnsiTheme="majorHAnsi" w:cstheme="majorHAnsi"/>
              </w:rPr>
              <w:t>Burrone</w:t>
            </w:r>
            <w:proofErr w:type="spellEnd"/>
            <w:r w:rsidRPr="00B4457F">
              <w:rPr>
                <w:rFonts w:asciiTheme="majorHAnsi" w:hAnsiTheme="majorHAnsi" w:cstheme="majorHAnsi"/>
              </w:rPr>
              <w:t xml:space="preserve"> S., Carrasco M., </w:t>
            </w:r>
            <w:proofErr w:type="spellStart"/>
            <w:r w:rsidRPr="00B4457F">
              <w:rPr>
                <w:rFonts w:asciiTheme="majorHAnsi" w:hAnsiTheme="majorHAnsi" w:cstheme="majorHAnsi"/>
              </w:rPr>
              <w:t>Nallino</w:t>
            </w:r>
            <w:proofErr w:type="spellEnd"/>
            <w:r w:rsidRPr="00B4457F">
              <w:rPr>
                <w:rFonts w:asciiTheme="majorHAnsi" w:hAnsiTheme="majorHAnsi" w:cstheme="majorHAnsi"/>
              </w:rPr>
              <w:t xml:space="preserve"> Marisa y Giménez María (2020). “Creación de Parques Agroecológicos como Política Pública para el Ordenamiento Territorial”, III Jornadas Internacionales y V Nacionales De Ambiente 2020 “Soberanía y Gestión De Los Bienes Naturales Comunes, de la Universidad Nacional de Hurlingham.</w:t>
            </w:r>
          </w:p>
          <w:p w14:paraId="1FE7EC34"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Camargo, Y. * &amp; Vélez, A. Grupo de Investigación en Modelación de Sistemas Ambientales- GIMSA. 2009. Emisiones de </w:t>
            </w:r>
            <w:proofErr w:type="spellStart"/>
            <w:r w:rsidRPr="00B4457F">
              <w:rPr>
                <w:rFonts w:asciiTheme="majorHAnsi" w:hAnsiTheme="majorHAnsi" w:cstheme="majorHAnsi"/>
              </w:rPr>
              <w:t>biogas</w:t>
            </w:r>
            <w:proofErr w:type="spellEnd"/>
            <w:r w:rsidRPr="00B4457F">
              <w:rPr>
                <w:rFonts w:asciiTheme="majorHAnsi" w:hAnsiTheme="majorHAnsi" w:cstheme="majorHAnsi"/>
              </w:rPr>
              <w:t xml:space="preserve"> producidas en rellenos sanitarios. II Simposio Iberoamericano II Simposio Iberoamericano I Simposio Iberoamericano de Ingeniería de Residuos Ingeniería de Residuos Ingeniería de Residuos Barranquilla, 24 y 25 de septiembre de 2009. 3d-Camargo-Colombia-001. Instituto de Investigaciones Tropicales- INTROPIC, Laboratorio No. 7. Universidad del Magdalena. </w:t>
            </w:r>
          </w:p>
          <w:p w14:paraId="1F5D5112"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CSJN, Mendoza Beatriz (Causa Riachuelo)</w:t>
            </w:r>
          </w:p>
          <w:p w14:paraId="59FBF2A2"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Código Civil y comercial de la Nación (Arts. 14, 240 y 241)</w:t>
            </w:r>
          </w:p>
          <w:p w14:paraId="31981B8D"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Constitución Nacional</w:t>
            </w:r>
          </w:p>
          <w:p w14:paraId="3365BCE0"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Constitución de la Ciudad Autónoma de Buenos Aires</w:t>
            </w:r>
          </w:p>
          <w:p w14:paraId="610BB03E"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Constitución de la Provincia de Buenos Aires</w:t>
            </w:r>
          </w:p>
          <w:p w14:paraId="187536AF"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Comisión Económica para América Latina y el Caribe (CEPAL). 2003. JORDÁN Ricardo &amp; SIMIONI Daniela (compiladores). “Estrategias e Instrumentos de Gestión Urbana </w:t>
            </w:r>
            <w:r w:rsidRPr="00B4457F">
              <w:rPr>
                <w:rFonts w:asciiTheme="majorHAnsi" w:hAnsiTheme="majorHAnsi" w:cstheme="majorHAnsi"/>
              </w:rPr>
              <w:lastRenderedPageBreak/>
              <w:t xml:space="preserve">para el desarrollo Sostenible en América Latina y el Caribe”. Guía de Gestión Urbana. Serie Manuales, </w:t>
            </w:r>
            <w:proofErr w:type="spellStart"/>
            <w:r w:rsidRPr="00B4457F">
              <w:rPr>
                <w:rFonts w:asciiTheme="majorHAnsi" w:hAnsiTheme="majorHAnsi" w:cstheme="majorHAnsi"/>
              </w:rPr>
              <w:t>Nº</w:t>
            </w:r>
            <w:proofErr w:type="spellEnd"/>
            <w:r w:rsidRPr="00B4457F">
              <w:rPr>
                <w:rFonts w:asciiTheme="majorHAnsi" w:hAnsiTheme="majorHAnsi" w:cstheme="majorHAnsi"/>
              </w:rPr>
              <w:t xml:space="preserve"> 27. Ediciones CEPAL, Santiago de Chile. En línea www.cepal.org/es/</w:t>
            </w:r>
          </w:p>
          <w:p w14:paraId="63BF8A39"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Corra Lilian. 2011. Consecuencias de los basurales a cielo abierto en la salud de la población y el ambiente. Buenos Aires: Asociación Argentina de Médicos por el Medio Ambiente (AAMMA)</w:t>
            </w:r>
          </w:p>
          <w:p w14:paraId="4626A4D1" w14:textId="77777777" w:rsidR="00B4457F" w:rsidRPr="00B4457F" w:rsidRDefault="00B4457F" w:rsidP="00B4457F">
            <w:pPr>
              <w:pStyle w:val="Prrafodelista"/>
              <w:numPr>
                <w:ilvl w:val="0"/>
                <w:numId w:val="1"/>
              </w:numPr>
              <w:jc w:val="both"/>
              <w:rPr>
                <w:rFonts w:asciiTheme="majorHAnsi" w:hAnsiTheme="majorHAnsi" w:cstheme="majorHAnsi"/>
              </w:rPr>
            </w:pPr>
            <w:proofErr w:type="spellStart"/>
            <w:r w:rsidRPr="00B4457F">
              <w:rPr>
                <w:rFonts w:asciiTheme="majorHAnsi" w:hAnsiTheme="majorHAnsi" w:cstheme="majorHAnsi"/>
              </w:rPr>
              <w:t>Cappello</w:t>
            </w:r>
            <w:proofErr w:type="spellEnd"/>
            <w:r w:rsidRPr="00B4457F">
              <w:rPr>
                <w:rFonts w:asciiTheme="majorHAnsi" w:hAnsiTheme="majorHAnsi" w:cstheme="majorHAnsi"/>
              </w:rPr>
              <w:t xml:space="preserve">, V &amp; Fortunato, N.2013. Plaguicidas en el territorio bonaerense: información toxicológica, </w:t>
            </w:r>
            <w:proofErr w:type="spellStart"/>
            <w:r w:rsidRPr="00B4457F">
              <w:rPr>
                <w:rFonts w:asciiTheme="majorHAnsi" w:hAnsiTheme="majorHAnsi" w:cstheme="majorHAnsi"/>
              </w:rPr>
              <w:t>ecotoxicológica</w:t>
            </w:r>
            <w:proofErr w:type="spellEnd"/>
            <w:r w:rsidRPr="00B4457F">
              <w:rPr>
                <w:rFonts w:asciiTheme="majorHAnsi" w:hAnsiTheme="majorHAnsi" w:cstheme="majorHAnsi"/>
              </w:rPr>
              <w:t xml:space="preserve"> y comportamiento ambiental. Dirección Provincial de Recursos Naturales. Programa Gestión Ambiental en Agroecosistemas.</w:t>
            </w:r>
          </w:p>
          <w:p w14:paraId="538DC648"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 xml:space="preserve">CAPELLUTO, Marcelo Fabián, BIDEGARAY Susana, GONZÁLEZ ACOSTA, </w:t>
            </w:r>
            <w:proofErr w:type="gramStart"/>
            <w:r w:rsidRPr="00B4457F">
              <w:rPr>
                <w:rFonts w:asciiTheme="majorHAnsi" w:hAnsiTheme="majorHAnsi" w:cstheme="majorHAnsi"/>
              </w:rPr>
              <w:t>Gustavo,  Manual</w:t>
            </w:r>
            <w:proofErr w:type="gramEnd"/>
            <w:r w:rsidRPr="00B4457F">
              <w:rPr>
                <w:rFonts w:asciiTheme="majorHAnsi" w:hAnsiTheme="majorHAnsi" w:cstheme="majorHAnsi"/>
              </w:rPr>
              <w:t xml:space="preserve"> de Derecho Ambiental y de la Conservación y Explotación Racional de los Recursos Naturales, El puente del Sabor, Buenos Aires, 2016</w:t>
            </w:r>
          </w:p>
          <w:p w14:paraId="00FCA8A1"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CSJN, VARGAS Ricardo Marcelo c. Provincia de San Juan y Otros s. Daño ambiental, LL, 11/05/2012</w:t>
            </w:r>
          </w:p>
          <w:p w14:paraId="77DDCE40"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Consejo Nacional de Coordinación de Políticas Sociales (2020), Agenda 2030-Argentina</w:t>
            </w:r>
            <w:proofErr w:type="gramStart"/>
            <w:r w:rsidRPr="00B4457F">
              <w:rPr>
                <w:rFonts w:asciiTheme="majorHAnsi" w:hAnsiTheme="majorHAnsi" w:cstheme="majorHAnsi"/>
              </w:rPr>
              <w:t>-“</w:t>
            </w:r>
            <w:proofErr w:type="gramEnd"/>
            <w:r w:rsidRPr="00B4457F">
              <w:rPr>
                <w:rFonts w:asciiTheme="majorHAnsi" w:hAnsiTheme="majorHAnsi" w:cstheme="majorHAnsi"/>
              </w:rPr>
              <w:t>Buenas Prácticas: Historias de Éxito y Lecciones Aprendidas en la implementación de Los ODS”.</w:t>
            </w:r>
          </w:p>
          <w:p w14:paraId="133E5C13"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Consejo Nacional de Coordinación de Políticas Sociales (2021), “Objetivos de Desarrollo Sostenible, Metas priorizadas e Indicadores de seguimiento” Primera ed., Ciudad Autónoma de Buenos Aires. </w:t>
            </w:r>
          </w:p>
          <w:p w14:paraId="5A5EF66E"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Defensor Del Pueblo De La Nación. 2010. Niñez y riesgo ambiental en Argentina. Buenos Aires: Programa de Naciones Unidas para el Desarrollo. 150 páginas. En línea www.dpn.gob.ar </w:t>
            </w:r>
          </w:p>
          <w:p w14:paraId="0820B647"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De Marco, Celeste. 2020. Los extramuros productivos. Un balance en el estudio de espacios periurbanos en Argentina. En línea: https://www.teseopress.com/ruralidad/chapter/los-extramuros-productivos-un-balance-en-el-estudio-de-espacios-periurbanos-en-argentina/ </w:t>
            </w:r>
          </w:p>
          <w:p w14:paraId="69FD6CE0"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DI PACE, María &amp; CARIDE BARTRONS, Horacio. (directores). 2012. Ecología urbana. Universidad Nacional de General Sarmiento. En línea: https://docplayer.es/72923930-Ecologia-urbana-maria-di-pace-horacio-caride-bartrons-directores.html </w:t>
            </w:r>
          </w:p>
          <w:p w14:paraId="3A46B839"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Defensor Del Pueblo De La Provincia De Buenos Aires. 2015. Relevamiento de la utilización de agroquímicos en la Provincia de Buenos Aires. Mapa de situación e incidencias sobre la salud. Defensor del Pueblo de la Provincia de Buenos Aires y Universidad Nacional de La Plata. En línea: https://www.agro.unlp.edu.ar/sites/default/files/paginas/informe_agroquimicos_comprimido.pdf</w:t>
            </w:r>
          </w:p>
          <w:p w14:paraId="46163D4C"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Defensor Del Pueblo De La Nación. 2010. Niñez y Riesgo Ambiental en Argentina. En línea: http://www.trabajoyambiente.com.ar/php/documentos/doc101_Ninez%20y%20Riesgo%20ambiental%20en%20Argentina.pdf</w:t>
            </w:r>
          </w:p>
          <w:p w14:paraId="5E3A573D"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ESAIN, José Alberto, La teoría de la autoridad de aplicación de las leyes de presupuestos mínimos de protección ambiental, LL, 06/04/2021</w:t>
            </w:r>
          </w:p>
          <w:p w14:paraId="7F3195B3"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lastRenderedPageBreak/>
              <w:t xml:space="preserve">FEITO, María Carolina. 2015. Políticas de tierras para la agricultura familiar periurbana.  Revista de ciencias sociales, segunda época N.º 28, primavera de 2015, pp. 49-68. </w:t>
            </w:r>
          </w:p>
          <w:p w14:paraId="2C48EC5D"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García Delgado Daniel (1997) “Nuevos escenarios locales. El cambio de modelo de gestión” FLACSO. Oficina de Publicaciones, material didáctico.</w:t>
            </w:r>
          </w:p>
          <w:p w14:paraId="04A07AD7"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Gilles-Eric </w:t>
            </w:r>
            <w:proofErr w:type="spellStart"/>
            <w:r w:rsidRPr="00B4457F">
              <w:rPr>
                <w:rFonts w:asciiTheme="majorHAnsi" w:hAnsiTheme="majorHAnsi" w:cstheme="majorHAnsi"/>
              </w:rPr>
              <w:t>Séralini</w:t>
            </w:r>
            <w:proofErr w:type="spellEnd"/>
            <w:r w:rsidRPr="00B4457F">
              <w:rPr>
                <w:rFonts w:asciiTheme="majorHAnsi" w:hAnsiTheme="majorHAnsi" w:cstheme="majorHAnsi"/>
              </w:rPr>
              <w:t xml:space="preserve"> et al. 2012. Long </w:t>
            </w:r>
            <w:proofErr w:type="spellStart"/>
            <w:r w:rsidRPr="00B4457F">
              <w:rPr>
                <w:rFonts w:asciiTheme="majorHAnsi" w:hAnsiTheme="majorHAnsi" w:cstheme="majorHAnsi"/>
              </w:rPr>
              <w:t>term</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toxicity</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of</w:t>
            </w:r>
            <w:proofErr w:type="spellEnd"/>
            <w:r w:rsidRPr="00B4457F">
              <w:rPr>
                <w:rFonts w:asciiTheme="majorHAnsi" w:hAnsiTheme="majorHAnsi" w:cstheme="majorHAnsi"/>
              </w:rPr>
              <w:t xml:space="preserve"> a </w:t>
            </w:r>
            <w:proofErr w:type="spellStart"/>
            <w:r w:rsidRPr="00B4457F">
              <w:rPr>
                <w:rFonts w:asciiTheme="majorHAnsi" w:hAnsiTheme="majorHAnsi" w:cstheme="majorHAnsi"/>
              </w:rPr>
              <w:t>Roundup</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herbicide</w:t>
            </w:r>
            <w:proofErr w:type="spellEnd"/>
            <w:r w:rsidRPr="00B4457F">
              <w:rPr>
                <w:rFonts w:asciiTheme="majorHAnsi" w:hAnsiTheme="majorHAnsi" w:cstheme="majorHAnsi"/>
              </w:rPr>
              <w:t xml:space="preserve"> and a </w:t>
            </w:r>
            <w:proofErr w:type="spellStart"/>
            <w:r w:rsidRPr="00B4457F">
              <w:rPr>
                <w:rFonts w:asciiTheme="majorHAnsi" w:hAnsiTheme="majorHAnsi" w:cstheme="majorHAnsi"/>
              </w:rPr>
              <w:t>Roundup-tolerant</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genetically</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modified</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maize</w:t>
            </w:r>
            <w:proofErr w:type="spellEnd"/>
            <w:r w:rsidRPr="00B4457F">
              <w:rPr>
                <w:rFonts w:asciiTheme="majorHAnsi" w:hAnsiTheme="majorHAnsi" w:cstheme="majorHAnsi"/>
              </w:rPr>
              <w:t xml:space="preserve">. 2012. </w:t>
            </w:r>
            <w:proofErr w:type="spellStart"/>
            <w:r w:rsidRPr="00B4457F">
              <w:rPr>
                <w:rFonts w:asciiTheme="majorHAnsi" w:hAnsiTheme="majorHAnsi" w:cstheme="majorHAnsi"/>
              </w:rPr>
              <w:t>Food</w:t>
            </w:r>
            <w:proofErr w:type="spellEnd"/>
            <w:r w:rsidRPr="00B4457F">
              <w:rPr>
                <w:rFonts w:asciiTheme="majorHAnsi" w:hAnsiTheme="majorHAnsi" w:cstheme="majorHAnsi"/>
              </w:rPr>
              <w:t xml:space="preserve"> and Chemical </w:t>
            </w:r>
            <w:proofErr w:type="spellStart"/>
            <w:r w:rsidRPr="00B4457F">
              <w:rPr>
                <w:rFonts w:asciiTheme="majorHAnsi" w:hAnsiTheme="majorHAnsi" w:cstheme="majorHAnsi"/>
              </w:rPr>
              <w:t>Toxicology</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journal</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homepage</w:t>
            </w:r>
            <w:proofErr w:type="spellEnd"/>
            <w:r w:rsidRPr="00B4457F">
              <w:rPr>
                <w:rFonts w:asciiTheme="majorHAnsi" w:hAnsiTheme="majorHAnsi" w:cstheme="majorHAnsi"/>
              </w:rPr>
              <w:t>: www.elsevier.com/locate/foodchemtox.</w:t>
            </w:r>
          </w:p>
          <w:p w14:paraId="1B952F6C" w14:textId="77777777" w:rsidR="00B4457F" w:rsidRPr="00B4457F" w:rsidRDefault="00B4457F" w:rsidP="00B4457F">
            <w:pPr>
              <w:pStyle w:val="Prrafodelista"/>
              <w:numPr>
                <w:ilvl w:val="0"/>
                <w:numId w:val="1"/>
              </w:numPr>
              <w:jc w:val="both"/>
              <w:rPr>
                <w:rFonts w:asciiTheme="majorHAnsi" w:hAnsiTheme="majorHAnsi" w:cstheme="majorHAnsi"/>
              </w:rPr>
            </w:pPr>
            <w:proofErr w:type="spellStart"/>
            <w:r w:rsidRPr="00B4457F">
              <w:rPr>
                <w:rFonts w:asciiTheme="majorHAnsi" w:hAnsiTheme="majorHAnsi" w:cstheme="majorHAnsi"/>
              </w:rPr>
              <w:t>Guimaräes</w:t>
            </w:r>
            <w:proofErr w:type="spellEnd"/>
            <w:r w:rsidRPr="00B4457F">
              <w:rPr>
                <w:rFonts w:asciiTheme="majorHAnsi" w:hAnsiTheme="majorHAnsi" w:cstheme="majorHAnsi"/>
              </w:rPr>
              <w:t xml:space="preserve">, R. (1998). La ética de la sustentabilidad y la formulación de políticas de desarrollo; Ambiente &amp; </w:t>
            </w:r>
            <w:proofErr w:type="spellStart"/>
            <w:r w:rsidRPr="00B4457F">
              <w:rPr>
                <w:rFonts w:asciiTheme="majorHAnsi" w:hAnsiTheme="majorHAnsi" w:cstheme="majorHAnsi"/>
              </w:rPr>
              <w:t>Sociedade</w:t>
            </w:r>
            <w:proofErr w:type="spellEnd"/>
            <w:r w:rsidRPr="00B4457F">
              <w:rPr>
                <w:rFonts w:asciiTheme="majorHAnsi" w:hAnsiTheme="majorHAnsi" w:cstheme="majorHAnsi"/>
              </w:rPr>
              <w:t xml:space="preserve">, </w:t>
            </w:r>
            <w:proofErr w:type="spellStart"/>
            <w:r w:rsidRPr="00B4457F">
              <w:rPr>
                <w:rFonts w:asciiTheme="majorHAnsi" w:hAnsiTheme="majorHAnsi" w:cstheme="majorHAnsi"/>
              </w:rPr>
              <w:t>N°</w:t>
            </w:r>
            <w:proofErr w:type="spellEnd"/>
            <w:r w:rsidRPr="00B4457F">
              <w:rPr>
                <w:rFonts w:asciiTheme="majorHAnsi" w:hAnsiTheme="majorHAnsi" w:cstheme="majorHAnsi"/>
              </w:rPr>
              <w:t xml:space="preserve"> 2, primer semestre; Campinas, Brasil; pp. 53-82</w:t>
            </w:r>
          </w:p>
          <w:p w14:paraId="4549073E"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González, Joaquín. 2014. Alternativas de captación y tratamiento del biogás en el vertedero de Piedras Blancas, Córdoba, Argentina. </w:t>
            </w:r>
          </w:p>
          <w:p w14:paraId="1DA7BA87"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Gutiérrez, Ricardo A. 2012. Federalismo y políticas ambientales en la Región Metropolitana de Buenos Aires, Argentina. Universidad Nacional de San Martín/Consejo Nacional de Investigaciones Científicas y Técnicas (Conicet), Buenos Aires, Argentina. Revista EURE </w:t>
            </w:r>
            <w:proofErr w:type="spellStart"/>
            <w:r w:rsidRPr="00B4457F">
              <w:rPr>
                <w:rFonts w:asciiTheme="majorHAnsi" w:hAnsiTheme="majorHAnsi" w:cstheme="majorHAnsi"/>
              </w:rPr>
              <w:t>vol</w:t>
            </w:r>
            <w:proofErr w:type="spellEnd"/>
            <w:r w:rsidRPr="00B4457F">
              <w:rPr>
                <w:rFonts w:asciiTheme="majorHAnsi" w:hAnsiTheme="majorHAnsi" w:cstheme="majorHAnsi"/>
              </w:rPr>
              <w:t xml:space="preserve"> 38 | no 114 | mayo 2012 | pp. 147-171 | artículos | ©EURE</w:t>
            </w:r>
          </w:p>
          <w:p w14:paraId="46ABA130"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Godoy </w:t>
            </w:r>
            <w:proofErr w:type="spellStart"/>
            <w:r w:rsidRPr="00B4457F">
              <w:rPr>
                <w:rFonts w:asciiTheme="majorHAnsi" w:hAnsiTheme="majorHAnsi" w:cstheme="majorHAnsi"/>
              </w:rPr>
              <w:t>Garraza</w:t>
            </w:r>
            <w:proofErr w:type="spellEnd"/>
            <w:r w:rsidRPr="00B4457F">
              <w:rPr>
                <w:rFonts w:asciiTheme="majorHAnsi" w:hAnsiTheme="majorHAnsi" w:cstheme="majorHAnsi"/>
              </w:rPr>
              <w:t>, Gastón &amp; Manzoni, Manuel. (</w:t>
            </w:r>
            <w:proofErr w:type="spellStart"/>
            <w:r w:rsidRPr="00B4457F">
              <w:rPr>
                <w:rFonts w:asciiTheme="majorHAnsi" w:hAnsiTheme="majorHAnsi" w:cstheme="majorHAnsi"/>
              </w:rPr>
              <w:t>Coords</w:t>
            </w:r>
            <w:proofErr w:type="spellEnd"/>
            <w:r w:rsidRPr="00B4457F">
              <w:rPr>
                <w:rFonts w:asciiTheme="majorHAnsi" w:hAnsiTheme="majorHAnsi" w:cstheme="majorHAnsi"/>
              </w:rPr>
              <w:t xml:space="preserve">). 2012. Agricultura Familiar y Acceso a la Tierra Urbana y Periurbana. Marco Normativo y Estrategias Jurídicas. 2012. Ediciones INTA. En línea:  </w:t>
            </w:r>
            <w:hyperlink r:id="rId8" w:history="1">
              <w:r w:rsidRPr="00B4457F">
                <w:rPr>
                  <w:rStyle w:val="Hipervnculo"/>
                  <w:rFonts w:asciiTheme="majorHAnsi" w:hAnsiTheme="majorHAnsi" w:cstheme="majorHAnsi"/>
                </w:rPr>
                <w:t>https://inta.gob.ar/sites/default/files/script-tmp-inta__paf_y_acceso_a_la_tierra_urbana.pdf</w:t>
              </w:r>
            </w:hyperlink>
          </w:p>
          <w:p w14:paraId="4153879A"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Gordillo De Anda, Gustavo. (2010). La Agricultura Urbana y Periurbana. Alternativas Productivas para la Seguridad Alimentaria. En línea: http://www.fao.org/tempref/GI/Reserved/FTP_FaoRlc/old/prior/segalim/aup/pdf/intro.pdfMunicipalidad De Rosario. (sin mención de autor). 2013. Desarrollo Social: Los Parques Huerta. En </w:t>
            </w:r>
            <w:proofErr w:type="spellStart"/>
            <w:proofErr w:type="gramStart"/>
            <w:r w:rsidRPr="00B4457F">
              <w:rPr>
                <w:rFonts w:asciiTheme="majorHAnsi" w:hAnsiTheme="majorHAnsi" w:cstheme="majorHAnsi"/>
              </w:rPr>
              <w:t>línea:www.rosario.gov.ar</w:t>
            </w:r>
            <w:proofErr w:type="spellEnd"/>
            <w:proofErr w:type="gramEnd"/>
            <w:r w:rsidRPr="00B4457F">
              <w:rPr>
                <w:rFonts w:asciiTheme="majorHAnsi" w:hAnsiTheme="majorHAnsi" w:cstheme="majorHAnsi"/>
              </w:rPr>
              <w:t xml:space="preserve"> </w:t>
            </w:r>
          </w:p>
          <w:p w14:paraId="3C85FEA1"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Honorable Concejo Deliberante de Moreno -ORDENANZA </w:t>
            </w:r>
            <w:proofErr w:type="spellStart"/>
            <w:r w:rsidRPr="00B4457F">
              <w:rPr>
                <w:rFonts w:asciiTheme="majorHAnsi" w:hAnsiTheme="majorHAnsi" w:cstheme="majorHAnsi"/>
              </w:rPr>
              <w:t>Nº</w:t>
            </w:r>
            <w:proofErr w:type="spellEnd"/>
            <w:r w:rsidRPr="00B4457F">
              <w:rPr>
                <w:rFonts w:asciiTheme="majorHAnsi" w:hAnsiTheme="majorHAnsi" w:cstheme="majorHAnsi"/>
              </w:rPr>
              <w:t xml:space="preserve"> 6422/20 Prohibición del uso de agroquímicos en el sistema productivo y agrícola con destino al consumo humano y animal</w:t>
            </w:r>
          </w:p>
          <w:p w14:paraId="7B863E9A"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Honorable Concejo Deliberante de Moreno-ORDENANZA </w:t>
            </w:r>
            <w:proofErr w:type="spellStart"/>
            <w:r w:rsidRPr="00B4457F">
              <w:rPr>
                <w:rFonts w:asciiTheme="majorHAnsi" w:hAnsiTheme="majorHAnsi" w:cstheme="majorHAnsi"/>
              </w:rPr>
              <w:t>Nº</w:t>
            </w:r>
            <w:proofErr w:type="spellEnd"/>
            <w:r w:rsidRPr="00B4457F">
              <w:rPr>
                <w:rFonts w:asciiTheme="majorHAnsi" w:hAnsiTheme="majorHAnsi" w:cstheme="majorHAnsi"/>
              </w:rPr>
              <w:t xml:space="preserve"> 6313/20 -Programa de Parques Agrarios Agroecológicos </w:t>
            </w:r>
            <w:proofErr w:type="spellStart"/>
            <w:r w:rsidRPr="00B4457F">
              <w:rPr>
                <w:rFonts w:asciiTheme="majorHAnsi" w:hAnsiTheme="majorHAnsi" w:cstheme="majorHAnsi"/>
              </w:rPr>
              <w:t>Morenenses</w:t>
            </w:r>
            <w:proofErr w:type="spellEnd"/>
            <w:r w:rsidRPr="00B4457F">
              <w:rPr>
                <w:rFonts w:asciiTheme="majorHAnsi" w:hAnsiTheme="majorHAnsi" w:cstheme="majorHAnsi"/>
              </w:rPr>
              <w:t>.</w:t>
            </w:r>
          </w:p>
          <w:p w14:paraId="681C8B29" w14:textId="77777777" w:rsidR="00B4457F" w:rsidRPr="00B4457F" w:rsidRDefault="00B4457F" w:rsidP="00B4457F">
            <w:pPr>
              <w:pStyle w:val="Prrafodelista"/>
              <w:numPr>
                <w:ilvl w:val="0"/>
                <w:numId w:val="1"/>
              </w:numPr>
              <w:jc w:val="both"/>
              <w:rPr>
                <w:rFonts w:asciiTheme="majorHAnsi" w:hAnsiTheme="majorHAnsi" w:cstheme="majorHAnsi"/>
              </w:rPr>
            </w:pPr>
            <w:proofErr w:type="spellStart"/>
            <w:r w:rsidRPr="00B4457F">
              <w:rPr>
                <w:rFonts w:asciiTheme="majorHAnsi" w:hAnsiTheme="majorHAnsi" w:cstheme="majorHAnsi"/>
              </w:rPr>
              <w:t>Jäger</w:t>
            </w:r>
            <w:proofErr w:type="spellEnd"/>
            <w:r w:rsidRPr="00B4457F">
              <w:rPr>
                <w:rFonts w:asciiTheme="majorHAnsi" w:hAnsiTheme="majorHAnsi" w:cstheme="majorHAnsi"/>
              </w:rPr>
              <w:t>, M. et al. 2017. Gobernabilidad, Percepción, Control y Efectos del Uso de Agroquímicos en la Región Metropolitana de Buenos Aires. Ediciones Universidad de la Matanza.</w:t>
            </w:r>
          </w:p>
          <w:p w14:paraId="2A138F6B"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Lavado Raúl &amp; Zubillaga Marta. 2008. “Efecto Ambiental de la Actividad Industrial, la Vida Urbana y la Producción Agropecuaria”. </w:t>
            </w:r>
            <w:proofErr w:type="spellStart"/>
            <w:r w:rsidRPr="00B4457F">
              <w:rPr>
                <w:rFonts w:asciiTheme="majorHAnsi" w:hAnsiTheme="majorHAnsi" w:cstheme="majorHAnsi"/>
              </w:rPr>
              <w:t>Agrosistemas</w:t>
            </w:r>
            <w:proofErr w:type="spellEnd"/>
            <w:r w:rsidRPr="00B4457F">
              <w:rPr>
                <w:rFonts w:asciiTheme="majorHAnsi" w:hAnsiTheme="majorHAnsi" w:cstheme="majorHAnsi"/>
              </w:rPr>
              <w:t xml:space="preserve">: impacto ambiental y sustentabilidad. Buenos Aires. Lidia </w:t>
            </w:r>
            <w:proofErr w:type="spellStart"/>
            <w:r w:rsidRPr="00B4457F">
              <w:rPr>
                <w:rFonts w:asciiTheme="majorHAnsi" w:hAnsiTheme="majorHAnsi" w:cstheme="majorHAnsi"/>
              </w:rPr>
              <w:t>Giuffre</w:t>
            </w:r>
            <w:proofErr w:type="spellEnd"/>
            <w:r w:rsidRPr="00B4457F">
              <w:rPr>
                <w:rFonts w:asciiTheme="majorHAnsi" w:hAnsiTheme="majorHAnsi" w:cstheme="majorHAnsi"/>
              </w:rPr>
              <w:t>. Páginas: 493.</w:t>
            </w:r>
          </w:p>
          <w:p w14:paraId="4B71C873"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LAVIN, Laura R. – GARROS MARTÍNEZ, María Cristina – TORRES FERNÁNDEZ, Rosa L. – LOMBARDO, Valeria A. – ZORICICH, Andrea Mariana – DUARTE, Ana Inés, El desarrollo sostenible de cuencas y el agua como derecho humano. Marco normativo general y particular, LL, 10/09/2021</w:t>
            </w:r>
          </w:p>
          <w:p w14:paraId="6723AFAD"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lastRenderedPageBreak/>
              <w:t>López Arriaza, Daniel Álvaro. 2016. Modelo para el diseño de sistemas de captación y aprovechamiento de biogás producido en rellenos sanitarios. Tesis de grado. Santiago de Chile.</w:t>
            </w:r>
          </w:p>
          <w:p w14:paraId="5F178020"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 xml:space="preserve">Lorenzetti, Pablo, La Corte Suprema </w:t>
            </w:r>
            <w:proofErr w:type="gramStart"/>
            <w:r w:rsidRPr="00B4457F">
              <w:rPr>
                <w:rFonts w:asciiTheme="majorHAnsi" w:hAnsiTheme="majorHAnsi" w:cstheme="majorHAnsi"/>
              </w:rPr>
              <w:t>ratifica</w:t>
            </w:r>
            <w:proofErr w:type="gramEnd"/>
            <w:r w:rsidRPr="00B4457F">
              <w:rPr>
                <w:rFonts w:asciiTheme="majorHAnsi" w:hAnsiTheme="majorHAnsi" w:cstheme="majorHAnsi"/>
              </w:rPr>
              <w:t xml:space="preserve"> el paradigma ambiental como método para la tutela efectiva de los bienes colectivos, LL, 11/06/2021</w:t>
            </w:r>
          </w:p>
          <w:p w14:paraId="239B2444"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Ley 25.675 – Ley General del ambienta (Política Ambiental Nacional)</w:t>
            </w:r>
          </w:p>
          <w:p w14:paraId="11CB19FA"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 xml:space="preserve">Ley </w:t>
            </w:r>
            <w:proofErr w:type="spellStart"/>
            <w:r w:rsidRPr="00B4457F">
              <w:rPr>
                <w:rFonts w:asciiTheme="majorHAnsi" w:hAnsiTheme="majorHAnsi" w:cstheme="majorHAnsi"/>
              </w:rPr>
              <w:t>Nº</w:t>
            </w:r>
            <w:proofErr w:type="spellEnd"/>
            <w:r w:rsidRPr="00B4457F">
              <w:rPr>
                <w:rFonts w:asciiTheme="majorHAnsi" w:hAnsiTheme="majorHAnsi" w:cstheme="majorHAnsi"/>
              </w:rPr>
              <w:t xml:space="preserve"> 24.051 - Residuos Peligrosos</w:t>
            </w:r>
          </w:p>
          <w:p w14:paraId="37B0340F"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 xml:space="preserve">Ley </w:t>
            </w:r>
            <w:proofErr w:type="spellStart"/>
            <w:r w:rsidRPr="00B4457F">
              <w:rPr>
                <w:rFonts w:asciiTheme="majorHAnsi" w:hAnsiTheme="majorHAnsi" w:cstheme="majorHAnsi"/>
              </w:rPr>
              <w:t>Nº</w:t>
            </w:r>
            <w:proofErr w:type="spellEnd"/>
            <w:r w:rsidRPr="00B4457F">
              <w:rPr>
                <w:rFonts w:asciiTheme="majorHAnsi" w:hAnsiTheme="majorHAnsi" w:cstheme="majorHAnsi"/>
              </w:rPr>
              <w:t xml:space="preserve"> 25.916 – Gestión de Residuos Domiciliarios</w:t>
            </w:r>
          </w:p>
          <w:p w14:paraId="7DC9EBAD"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 xml:space="preserve">Ley </w:t>
            </w:r>
            <w:proofErr w:type="spellStart"/>
            <w:r w:rsidRPr="00B4457F">
              <w:rPr>
                <w:rFonts w:asciiTheme="majorHAnsi" w:hAnsiTheme="majorHAnsi" w:cstheme="majorHAnsi"/>
              </w:rPr>
              <w:t>Nº</w:t>
            </w:r>
            <w:proofErr w:type="spellEnd"/>
            <w:r w:rsidRPr="00B4457F">
              <w:rPr>
                <w:rFonts w:asciiTheme="majorHAnsi" w:hAnsiTheme="majorHAnsi" w:cstheme="majorHAnsi"/>
              </w:rPr>
              <w:t xml:space="preserve"> 13.592 – Gestión Integral de Residuos Sólidos Urbanos</w:t>
            </w:r>
          </w:p>
          <w:p w14:paraId="46634FF2"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 xml:space="preserve">Ley </w:t>
            </w:r>
            <w:proofErr w:type="spellStart"/>
            <w:r w:rsidRPr="00B4457F">
              <w:rPr>
                <w:rFonts w:asciiTheme="majorHAnsi" w:hAnsiTheme="majorHAnsi" w:cstheme="majorHAnsi"/>
              </w:rPr>
              <w:t>Nº</w:t>
            </w:r>
            <w:proofErr w:type="spellEnd"/>
            <w:r w:rsidRPr="00B4457F">
              <w:rPr>
                <w:rFonts w:asciiTheme="majorHAnsi" w:hAnsiTheme="majorHAnsi" w:cstheme="majorHAnsi"/>
              </w:rPr>
              <w:t xml:space="preserve"> 25.688 – Gestión de Aguas</w:t>
            </w:r>
          </w:p>
          <w:p w14:paraId="6AFED9BE"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 xml:space="preserve">Ley </w:t>
            </w:r>
            <w:proofErr w:type="spellStart"/>
            <w:r w:rsidRPr="00B4457F">
              <w:rPr>
                <w:rFonts w:asciiTheme="majorHAnsi" w:hAnsiTheme="majorHAnsi" w:cstheme="majorHAnsi"/>
              </w:rPr>
              <w:t>Nº</w:t>
            </w:r>
            <w:proofErr w:type="spellEnd"/>
            <w:r w:rsidRPr="00B4457F">
              <w:rPr>
                <w:rFonts w:asciiTheme="majorHAnsi" w:hAnsiTheme="majorHAnsi" w:cstheme="majorHAnsi"/>
              </w:rPr>
              <w:t xml:space="preserve"> 26.331 – Protección de Bosques Nativos</w:t>
            </w:r>
          </w:p>
          <w:p w14:paraId="4DF43E44"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 xml:space="preserve">Ley </w:t>
            </w:r>
            <w:proofErr w:type="spellStart"/>
            <w:r w:rsidRPr="00B4457F">
              <w:rPr>
                <w:rFonts w:asciiTheme="majorHAnsi" w:hAnsiTheme="majorHAnsi" w:cstheme="majorHAnsi"/>
              </w:rPr>
              <w:t>Nº</w:t>
            </w:r>
            <w:proofErr w:type="spellEnd"/>
            <w:r w:rsidRPr="00B4457F">
              <w:rPr>
                <w:rFonts w:asciiTheme="majorHAnsi" w:hAnsiTheme="majorHAnsi" w:cstheme="majorHAnsi"/>
              </w:rPr>
              <w:t xml:space="preserve"> 26.639 – Glaciares</w:t>
            </w:r>
          </w:p>
          <w:p w14:paraId="2E059471"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Ley 25.612 – Residuos Industriales y de Servicios</w:t>
            </w:r>
          </w:p>
          <w:p w14:paraId="271C6F72"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 xml:space="preserve">Ley 25.670 – Gestión de </w:t>
            </w:r>
            <w:proofErr w:type="spellStart"/>
            <w:r w:rsidRPr="00B4457F">
              <w:rPr>
                <w:rFonts w:asciiTheme="majorHAnsi" w:hAnsiTheme="majorHAnsi" w:cstheme="majorHAnsi"/>
              </w:rPr>
              <w:t>PCBs</w:t>
            </w:r>
            <w:proofErr w:type="spellEnd"/>
          </w:p>
          <w:p w14:paraId="08EC2B54"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Ley 25.831 – Acceso a la Información Pública Ambiental</w:t>
            </w:r>
          </w:p>
          <w:p w14:paraId="6746F0DB"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Ley 26.562 – Actividad de quema</w:t>
            </w:r>
          </w:p>
          <w:p w14:paraId="2792FC5E"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Ley 26.815 – Incendios Forestales y Rurales</w:t>
            </w:r>
          </w:p>
          <w:p w14:paraId="4CE870D3"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Ley 27.520 – Adaptación y Mitigación al Cambio Climático</w:t>
            </w:r>
          </w:p>
          <w:p w14:paraId="0C3D1DDB"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Ley 27.279 – Gestión de los Envases Vacíos de Fitosanitarios</w:t>
            </w:r>
          </w:p>
          <w:p w14:paraId="1FAF0DD0"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Ley 22.351 – Parques Nacionales</w:t>
            </w:r>
          </w:p>
          <w:p w14:paraId="19B1A155"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Ley 27.592 – Formación Integral en Ambiente</w:t>
            </w:r>
          </w:p>
          <w:p w14:paraId="4E86F945"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Martínez, Sandra </w:t>
            </w:r>
            <w:proofErr w:type="spellStart"/>
            <w:r w:rsidRPr="00B4457F">
              <w:rPr>
                <w:rFonts w:asciiTheme="majorHAnsi" w:hAnsiTheme="majorHAnsi" w:cstheme="majorHAnsi"/>
              </w:rPr>
              <w:t>Maria</w:t>
            </w:r>
            <w:proofErr w:type="spellEnd"/>
            <w:r w:rsidRPr="00B4457F">
              <w:rPr>
                <w:rFonts w:asciiTheme="majorHAnsi" w:hAnsiTheme="majorHAnsi" w:cstheme="majorHAnsi"/>
              </w:rPr>
              <w:t>. 2017. Aprovechamiento energético de los residuos sólidos urbanos para la generación de energía eléctrica en la Planta de Tratamiento de Overo Pozo, Tucumán (Argentina) Trabajo Final Integrador para optar al Grado Académico Superior de Especialista en Ingeniería Bioenergética. San Miguel de Tucumán.</w:t>
            </w:r>
          </w:p>
          <w:p w14:paraId="2B15992B"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UNE-ISO 37120- Desarrollo sostenible en las ciudades Indicadores para los servicios urbanos y la calidad de vida</w:t>
            </w:r>
          </w:p>
          <w:p w14:paraId="76A1DCEF" w14:textId="77777777" w:rsidR="00B4457F" w:rsidRPr="00B4457F" w:rsidRDefault="00B4457F" w:rsidP="00B4457F">
            <w:pPr>
              <w:pStyle w:val="Prrafodelista"/>
              <w:numPr>
                <w:ilvl w:val="0"/>
                <w:numId w:val="1"/>
              </w:numPr>
              <w:jc w:val="both"/>
              <w:rPr>
                <w:rFonts w:asciiTheme="majorHAnsi" w:hAnsiTheme="majorHAnsi" w:cstheme="majorHAnsi"/>
              </w:rPr>
            </w:pPr>
            <w:proofErr w:type="spellStart"/>
            <w:r w:rsidRPr="00B4457F">
              <w:rPr>
                <w:rFonts w:asciiTheme="majorHAnsi" w:hAnsiTheme="majorHAnsi" w:cstheme="majorHAnsi"/>
              </w:rPr>
              <w:t>MercoCiudades</w:t>
            </w:r>
            <w:proofErr w:type="spellEnd"/>
            <w:r w:rsidRPr="00B4457F">
              <w:rPr>
                <w:rFonts w:asciiTheme="majorHAnsi" w:hAnsiTheme="majorHAnsi" w:cstheme="majorHAnsi"/>
              </w:rPr>
              <w:t>. Vicepresidencia de Desarrollo Urbano Sostenible y Cambio Climático (2020) Objetivos de Desarrollo Sostenible Metas e Indicadores con Impacto Local</w:t>
            </w:r>
          </w:p>
          <w:p w14:paraId="3AA5C69E"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Morras Héctor. 2010. Ambiente físico del Área Metropolitana. Buenos Aires: Ediciones INTA. En línea https://www.estadisticaciudad.gob.ar/eyc/wp-content/uploads/2015/09/dinamica_de_una_ciudad_2010.pdf</w:t>
            </w:r>
          </w:p>
          <w:p w14:paraId="04C176BD"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ORGANIZACIÓN DE LAS NACIONES UNIDAS PARA LA ALIMENTACIÓN Y LA AGRICULTURA (FAO). 2011. Una introducción a los conceptos básicos de la seguridad alimentaria. Roma. En línea: http://www.fao.org/3/al936s/al936s00.pdf</w:t>
            </w:r>
          </w:p>
          <w:p w14:paraId="0CF4F440"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ORGANIZACIÓN DE LAS NACIONES UNIDAS PARA LA ALIMENTACIÓN Y LA AGRICULTURA (FAO). 2016 a. Intensificación sostenible de la producción agrícola. En línea: http://www.fao.org/3/a-i5653s.pdf </w:t>
            </w:r>
          </w:p>
          <w:p w14:paraId="2C4AE895"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ORGANIZACIÓN DE LAS NACIONES UNIDAS PARA LA ALIMENTACIÓN Y LA AGRICULTURA (FAO). 2016 b. Agricultura Climáticamente Inteligente una estrategia FAO para la sostenibilidad productiva. Cuba. En línea: https://es2.slideshare.net/FAOoftheUN/agricultura-climticamente-inteligente-una-estrategia-fao-para-la-sostenibilidad-productiva/7 </w:t>
            </w:r>
          </w:p>
          <w:p w14:paraId="50C971D9"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lastRenderedPageBreak/>
              <w:t xml:space="preserve">ORGANIZACIÓN DE LAS NACIONES UNIDAS PARA LA ALIMENTACIÓN Y LA AGRICULTURA FAO. 2017.  Carbono Orgánico del Suelo: el potencial oculto. Organización de las Naciones Unidas para la Alimentación y Agricultura Roma, Italia. </w:t>
            </w:r>
          </w:p>
          <w:p w14:paraId="5B2163E1"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Oquendo Valentina. 2018. Sistemas De Envolventes Vegetales Para. Cubiertas Y Fachadas. Universidad politécnica de Madrid. En línea: http://tomillo.org/wp-content/uploads/2018/09/MOOC-Ciudades-Verdes-Gui%CC%81a-del-curso.pdf </w:t>
            </w:r>
          </w:p>
          <w:p w14:paraId="2B01849C"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OMS. 006. Ambientes Saludables y Prevención de Enfermedades. En línea http://who.int/quantifying_ehimpacts/publications/prevdisexecsumsp.pdf </w:t>
            </w:r>
          </w:p>
          <w:p w14:paraId="74490E4A"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OMS, PNUMA. 2010. Un entorno sano para niños sanos. Mensajes básicos para actuar. En línea http://www.who.int/ceh/publications/hehc_booklet/es/ </w:t>
            </w:r>
          </w:p>
          <w:p w14:paraId="31B620DF"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ONU HABITAT. Programa de las Naciones Unidas para los Asentamientos Humanos. 2009. Planificación De Ciudades Sostenibles: Orientaciones Para Políticas. Londres • </w:t>
            </w:r>
            <w:proofErr w:type="spellStart"/>
            <w:r w:rsidRPr="00B4457F">
              <w:rPr>
                <w:rFonts w:asciiTheme="majorHAnsi" w:hAnsiTheme="majorHAnsi" w:cstheme="majorHAnsi"/>
              </w:rPr>
              <w:t>Sterling</w:t>
            </w:r>
            <w:proofErr w:type="spellEnd"/>
            <w:r w:rsidRPr="00B4457F">
              <w:rPr>
                <w:rFonts w:asciiTheme="majorHAnsi" w:hAnsiTheme="majorHAnsi" w:cstheme="majorHAnsi"/>
              </w:rPr>
              <w:t>, VA</w:t>
            </w:r>
          </w:p>
          <w:p w14:paraId="3317EBBF"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ONU. 2021. Línea De Base Coalición Para El Cierre Progresivo De Los Basurales En América Latina Y El Caribe.  Borrador Final 7 de enero de 2021</w:t>
            </w:r>
          </w:p>
          <w:p w14:paraId="37BBC4F8"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Organización De Las Naciones Unidas Para La Agricultura Y La Alimentación. 2002. Captura de Carbono en los Suelos para un mejor Manejo de la Tierra. Informes sobre recursos mundiales de suelos: 96. En línea: http://www.fao.org/3/a-bl001s.pdf</w:t>
            </w:r>
          </w:p>
          <w:p w14:paraId="39803BFB"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PASCALE MEDINA, Carla; ZUBILLAGA, María de las Mercedes; TABOADA, Miguel Ángel. (Editores) 2014.  Suelos, producción agropecuaria y cambio climático: avances en la Argentina. Ministerio de Agricultura, Ganadería y Pesca. En línea: https://www.biblio.uade.edu.ar/client/es_ES/biblioteca/search/detailnonmodal/ent:$002f$002fSD_ILS$002f0$002fSD_ILS:319532/ada?qu=EDUCACION+AMBIENTAL&amp;ic=true</w:t>
            </w:r>
          </w:p>
          <w:p w14:paraId="0789D684"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Pascale Medina, Carla.  ed. Zubillaga, María de las Mercedes.  ed. TABOADA, Miguel Ángel.  ed. 2014.  Suelos, producción agropecuaria y cambio climático: avances en la Argentina. Ministerio de Agricultura, Ganadería y Pesca. En línea: https://www.biblio.uade.edu.ar/client/es_ES/biblioteca/search/detailnonmodal/ent:$002f$002fSD_ILS$002f0$002fSD_ILS:319532/ada?qu=EDUCACION+AMBIENTAL&amp;ic=true</w:t>
            </w:r>
          </w:p>
          <w:p w14:paraId="4DF7409F"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PERAHIA, Raquel. 2010. La RMBA, un enfoque ambiental en su ordenamiento territorial. Trabajo presentado en el Congreso de la Asociación de Universidades Grupo Montevideo. Universidad de Rosario. 2010. En línea: http://www.augm-cadr.org.ar/archivos/8va-bienal/MI.3.pdf </w:t>
            </w:r>
          </w:p>
          <w:p w14:paraId="2176F638"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PENGUE, Walter. 2009. Cuestiones económico-ambientales de las transformaciones agrícolas en las pampas. Revista Latinoamericana de Economía. Problemas del desarrollo. Vol. 40. Número 157. Abril-junio 2009. En línea: http://www.scielo.org.mx/pdf/prode/v40n157/v40n157a6.pdf </w:t>
            </w:r>
          </w:p>
          <w:p w14:paraId="6BD08FBE"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Red Iberoamericana De Potabilización Y Depuración Del Agua (CYTED). 2004. (sin mención de autor).  Agua potable para comunidades rurales, uso y tratamientos avanzados de aguas residuales domésticas, Capítulo 13: Riesgo de enfermedades transmitidas por el Agua en zonas rurales, en www.bvsde.paho.org. año 2004.</w:t>
            </w:r>
          </w:p>
          <w:p w14:paraId="3B275E37"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lastRenderedPageBreak/>
              <w:t xml:space="preserve">Saiz </w:t>
            </w:r>
            <w:proofErr w:type="spellStart"/>
            <w:r w:rsidRPr="00B4457F">
              <w:rPr>
                <w:rFonts w:asciiTheme="majorHAnsi" w:hAnsiTheme="majorHAnsi" w:cstheme="majorHAnsi"/>
              </w:rPr>
              <w:t>Alcazar</w:t>
            </w:r>
            <w:proofErr w:type="spellEnd"/>
            <w:r w:rsidRPr="00B4457F">
              <w:rPr>
                <w:rFonts w:asciiTheme="majorHAnsi" w:hAnsiTheme="majorHAnsi" w:cstheme="majorHAnsi"/>
              </w:rPr>
              <w:t xml:space="preserve">, Susana. 2015. Tesis doctoral: Efectos de las cubiertas ajardinadas sobre el microclima urbano de verano. Universidad Politécnica de Madrid. España. En línea: http://oa.upm.es/40080/1/SUSANA_SAIZ_ALCAZAR.pdf </w:t>
            </w:r>
          </w:p>
          <w:p w14:paraId="705636EC"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Secretaria de Turismo de la Nación. Manual de Directrices de Gestión Turística de </w:t>
            </w:r>
            <w:proofErr w:type="gramStart"/>
            <w:r w:rsidRPr="00B4457F">
              <w:rPr>
                <w:rFonts w:asciiTheme="majorHAnsi" w:hAnsiTheme="majorHAnsi" w:cstheme="majorHAnsi"/>
              </w:rPr>
              <w:t>Municipios .</w:t>
            </w:r>
            <w:proofErr w:type="gramEnd"/>
            <w:r w:rsidRPr="00B4457F">
              <w:rPr>
                <w:rFonts w:asciiTheme="majorHAnsi" w:hAnsiTheme="majorHAnsi" w:cstheme="majorHAnsi"/>
              </w:rPr>
              <w:t xml:space="preserve"> Disponible en: http://www.turismo.gob.ar/sites/default/files/1_manual_dga_municipios.pdf</w:t>
            </w:r>
          </w:p>
          <w:p w14:paraId="3685FEDC"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Schmidt, M. “Expansión de la frontera urbana y áreas de protección ambiental en la región metropolitana de Buenos Aires, Argentina”. </w:t>
            </w:r>
            <w:proofErr w:type="gramStart"/>
            <w:r w:rsidRPr="00B4457F">
              <w:rPr>
                <w:rFonts w:asciiTheme="majorHAnsi" w:hAnsiTheme="majorHAnsi" w:cstheme="majorHAnsi"/>
              </w:rPr>
              <w:t>En  línea</w:t>
            </w:r>
            <w:proofErr w:type="gramEnd"/>
            <w:r w:rsidRPr="00B4457F">
              <w:rPr>
                <w:rFonts w:asciiTheme="majorHAnsi" w:hAnsiTheme="majorHAnsi" w:cstheme="majorHAnsi"/>
              </w:rPr>
              <w:t xml:space="preserve"> https://uba.academia.edu/marianaschmidt. </w:t>
            </w:r>
          </w:p>
          <w:p w14:paraId="4D8F12F7"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SOUZA CASADINHO, Javier. 2009. “La problemática del uso de plaguicidas en Argentina. Modelos productivos e impacto en el ambiente”. Congreso de la Asociación Latinoamericana de Sociología. VIII Jornadas de Sociología de la Universidad de Buenos Aires. Asociación Latinoamericana de Sociología, Buenos Aires. En línea: https://www.aacademica.org/000-062/354 </w:t>
            </w:r>
          </w:p>
          <w:p w14:paraId="04D76DCB"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SOUZA CASADINHO, Javier. 2019. “La dinámica de utilización de los plaguicidas y su relación con la consecución de los derechos humanos”. 14 </w:t>
            </w:r>
            <w:proofErr w:type="gramStart"/>
            <w:r w:rsidRPr="00B4457F">
              <w:rPr>
                <w:rFonts w:asciiTheme="majorHAnsi" w:hAnsiTheme="majorHAnsi" w:cstheme="majorHAnsi"/>
              </w:rPr>
              <w:t>Congreso</w:t>
            </w:r>
            <w:proofErr w:type="gramEnd"/>
            <w:r w:rsidRPr="00B4457F">
              <w:rPr>
                <w:rFonts w:asciiTheme="majorHAnsi" w:hAnsiTheme="majorHAnsi" w:cstheme="majorHAnsi"/>
              </w:rPr>
              <w:t xml:space="preserve"> Nacional de Estudios del Trabajo. Los trabajadores y trabajadoras en el escenario actual.  Condiciones estructurales y alternativas frente a la crisis. Buenos Aires 7, 8 y 9 de agosto de 2019. En línea: https://aset.org.ar/2019/ponencias/10_Souza.pdf  </w:t>
            </w:r>
          </w:p>
          <w:p w14:paraId="579BB2FA"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Soria, F. (2018). Mesa Nacional De Periurbanos Orgánicos. Documento Guía De Espacios Periurbanos. En línea:  https://inta.gob.ar/sites/default/files/inta_soria.pdf</w:t>
            </w:r>
          </w:p>
          <w:p w14:paraId="0B2DFD6F"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Taboada, M.A. 2019. El suelo como protagonista: Visión integral de los servicios ecosistémicos que brinda el suelo. XXVII Congreso de AAPRESID. Rosario, agosto de 2019.</w:t>
            </w:r>
          </w:p>
          <w:p w14:paraId="7E605247" w14:textId="77777777" w:rsidR="00B4457F" w:rsidRPr="00B4457F" w:rsidRDefault="00B4457F" w:rsidP="00B4457F">
            <w:pPr>
              <w:pStyle w:val="Prrafodelista"/>
              <w:numPr>
                <w:ilvl w:val="0"/>
                <w:numId w:val="1"/>
              </w:numPr>
              <w:jc w:val="both"/>
              <w:rPr>
                <w:rFonts w:asciiTheme="majorHAnsi" w:hAnsiTheme="majorHAnsi" w:cstheme="majorHAnsi"/>
              </w:rPr>
            </w:pPr>
            <w:r w:rsidRPr="00B4457F">
              <w:rPr>
                <w:rFonts w:asciiTheme="majorHAnsi" w:hAnsiTheme="majorHAnsi" w:cstheme="majorHAnsi"/>
              </w:rPr>
              <w:t xml:space="preserve">Universidad Nacional De </w:t>
            </w:r>
            <w:proofErr w:type="spellStart"/>
            <w:r w:rsidRPr="00B4457F">
              <w:rPr>
                <w:rFonts w:asciiTheme="majorHAnsi" w:hAnsiTheme="majorHAnsi" w:cstheme="majorHAnsi"/>
              </w:rPr>
              <w:t>Cordoba</w:t>
            </w:r>
            <w:proofErr w:type="spellEnd"/>
            <w:r w:rsidRPr="00B4457F">
              <w:rPr>
                <w:rFonts w:asciiTheme="majorHAnsi" w:hAnsiTheme="majorHAnsi" w:cstheme="majorHAnsi"/>
              </w:rPr>
              <w:t xml:space="preserve">. Facultad De Ciencias Exactas, </w:t>
            </w:r>
            <w:proofErr w:type="spellStart"/>
            <w:r w:rsidRPr="00B4457F">
              <w:rPr>
                <w:rFonts w:asciiTheme="majorHAnsi" w:hAnsiTheme="majorHAnsi" w:cstheme="majorHAnsi"/>
              </w:rPr>
              <w:t>Fisicas</w:t>
            </w:r>
            <w:proofErr w:type="spellEnd"/>
            <w:r w:rsidRPr="00B4457F">
              <w:rPr>
                <w:rFonts w:asciiTheme="majorHAnsi" w:hAnsiTheme="majorHAnsi" w:cstheme="majorHAnsi"/>
              </w:rPr>
              <w:t xml:space="preserve"> Y Naturales. Centro de Vinculación de Ingeniería </w:t>
            </w:r>
            <w:proofErr w:type="spellStart"/>
            <w:r w:rsidRPr="00B4457F">
              <w:rPr>
                <w:rFonts w:asciiTheme="majorHAnsi" w:hAnsiTheme="majorHAnsi" w:cstheme="majorHAnsi"/>
              </w:rPr>
              <w:t>Geoambiental</w:t>
            </w:r>
            <w:proofErr w:type="spellEnd"/>
            <w:r w:rsidRPr="00B4457F">
              <w:rPr>
                <w:rFonts w:asciiTheme="majorHAnsi" w:hAnsiTheme="majorHAnsi" w:cstheme="majorHAnsi"/>
              </w:rPr>
              <w:t>, Medios Porosos y Flujos Subterráneos.</w:t>
            </w:r>
          </w:p>
          <w:p w14:paraId="50416E85" w14:textId="77777777" w:rsidR="00B4457F" w:rsidRPr="00B4457F" w:rsidRDefault="00B4457F" w:rsidP="00B4457F">
            <w:pPr>
              <w:pStyle w:val="Prrafodelista"/>
              <w:numPr>
                <w:ilvl w:val="0"/>
                <w:numId w:val="1"/>
              </w:numPr>
              <w:rPr>
                <w:rFonts w:asciiTheme="majorHAnsi" w:hAnsiTheme="majorHAnsi" w:cstheme="majorHAnsi"/>
              </w:rPr>
            </w:pPr>
            <w:r w:rsidRPr="00B4457F">
              <w:rPr>
                <w:rFonts w:asciiTheme="majorHAnsi" w:hAnsiTheme="majorHAnsi" w:cstheme="majorHAnsi"/>
              </w:rPr>
              <w:t>VERA, Alejandra O., Doctrina judicial ambiental del Tribunal Superior de Justicia de la Provincia de Córdoba, LL, 09/12/2020</w:t>
            </w:r>
          </w:p>
          <w:p w14:paraId="63FC2294" w14:textId="4F5B9527" w:rsidR="00A758B9" w:rsidRPr="00B4457F" w:rsidRDefault="00B4457F" w:rsidP="00B4457F">
            <w:pPr>
              <w:pStyle w:val="Prrafodelista"/>
              <w:numPr>
                <w:ilvl w:val="0"/>
                <w:numId w:val="1"/>
              </w:numPr>
              <w:jc w:val="both"/>
              <w:rPr>
                <w:rFonts w:cstheme="minorHAnsi"/>
                <w:sz w:val="24"/>
                <w:szCs w:val="24"/>
              </w:rPr>
            </w:pPr>
            <w:proofErr w:type="spellStart"/>
            <w:r w:rsidRPr="00B4457F">
              <w:rPr>
                <w:rFonts w:asciiTheme="majorHAnsi" w:hAnsiTheme="majorHAnsi" w:cstheme="majorHAnsi"/>
              </w:rPr>
              <w:t>Zumalave</w:t>
            </w:r>
            <w:proofErr w:type="spellEnd"/>
            <w:r w:rsidRPr="00B4457F">
              <w:rPr>
                <w:rFonts w:asciiTheme="majorHAnsi" w:hAnsiTheme="majorHAnsi" w:cstheme="majorHAnsi"/>
              </w:rPr>
              <w:t xml:space="preserve"> Rey, B. 2017. Aportes de la Agroecología para Evitar el Uso de Agroquímicos. En línea: https://inta.gob.ar/sites/default/files/zumalave_rey_capitulo_vi_aportes_de_la_agroecologia_para_evitar_el_uso_de_agroquimicos.pdf</w:t>
            </w:r>
          </w:p>
        </w:tc>
      </w:tr>
    </w:tbl>
    <w:p w14:paraId="30458E78" w14:textId="32C00C9C" w:rsidR="00A758B9" w:rsidRDefault="00A758B9">
      <w:pPr>
        <w:keepNext/>
        <w:keepLines/>
        <w:pBdr>
          <w:top w:val="nil"/>
          <w:left w:val="nil"/>
          <w:bottom w:val="nil"/>
          <w:right w:val="nil"/>
          <w:between w:val="nil"/>
        </w:pBdr>
        <w:spacing w:before="480" w:after="120"/>
        <w:rPr>
          <w:b/>
          <w:color w:val="000000"/>
          <w:sz w:val="36"/>
          <w:szCs w:val="36"/>
        </w:rPr>
      </w:pPr>
    </w:p>
    <w:p w14:paraId="0CB07EC3" w14:textId="77777777" w:rsidR="00A078FB" w:rsidRDefault="00A078FB">
      <w:pPr>
        <w:keepNext/>
        <w:keepLines/>
        <w:pBdr>
          <w:top w:val="nil"/>
          <w:left w:val="nil"/>
          <w:bottom w:val="nil"/>
          <w:right w:val="nil"/>
          <w:between w:val="nil"/>
        </w:pBdr>
        <w:spacing w:before="480" w:after="120"/>
        <w:rPr>
          <w:b/>
          <w:color w:val="000000"/>
          <w:sz w:val="36"/>
          <w:szCs w:val="36"/>
        </w:rPr>
      </w:pPr>
    </w:p>
    <w:p w14:paraId="77776A28" w14:textId="77777777" w:rsidR="00A758B9" w:rsidRDefault="00AD2B27">
      <w:pPr>
        <w:keepNext/>
        <w:keepLines/>
        <w:pBdr>
          <w:top w:val="nil"/>
          <w:left w:val="nil"/>
          <w:bottom w:val="nil"/>
          <w:right w:val="nil"/>
          <w:between w:val="nil"/>
        </w:pBdr>
        <w:spacing w:before="480" w:after="120"/>
        <w:rPr>
          <w:b/>
          <w:color w:val="000000"/>
          <w:sz w:val="36"/>
          <w:szCs w:val="36"/>
        </w:rPr>
      </w:pPr>
      <w:r>
        <w:rPr>
          <w:b/>
          <w:color w:val="000000"/>
          <w:sz w:val="36"/>
          <w:szCs w:val="36"/>
        </w:rPr>
        <w:t>7. MODALIDAD DE DICTADO</w:t>
      </w:r>
      <w:r>
        <w:rPr>
          <w:b/>
          <w:color w:val="000000"/>
          <w:sz w:val="48"/>
          <w:szCs w:val="48"/>
        </w:rPr>
        <w:t xml:space="preserve"> </w:t>
      </w:r>
    </w:p>
    <w:tbl>
      <w:tblPr>
        <w:tblStyle w:val="affe"/>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tblGrid>
      <w:tr w:rsidR="00A758B9" w14:paraId="4004C9F0" w14:textId="77777777">
        <w:trPr>
          <w:jc w:val="center"/>
        </w:trPr>
        <w:tc>
          <w:tcPr>
            <w:tcW w:w="2835" w:type="dxa"/>
            <w:shd w:val="clear" w:color="auto" w:fill="B7B7B7"/>
            <w:tcMar>
              <w:top w:w="100" w:type="dxa"/>
              <w:left w:w="100" w:type="dxa"/>
              <w:bottom w:w="100" w:type="dxa"/>
              <w:right w:w="100" w:type="dxa"/>
            </w:tcMar>
          </w:tcPr>
          <w:p w14:paraId="3B307532" w14:textId="77777777" w:rsidR="00A758B9" w:rsidRDefault="00AD2B27">
            <w:pPr>
              <w:widowControl w:val="0"/>
              <w:pBdr>
                <w:top w:val="nil"/>
                <w:left w:val="nil"/>
                <w:bottom w:val="nil"/>
                <w:right w:val="nil"/>
                <w:between w:val="nil"/>
              </w:pBdr>
              <w:spacing w:after="0" w:line="240" w:lineRule="auto"/>
              <w:jc w:val="center"/>
              <w:rPr>
                <w:b/>
                <w:color w:val="000000"/>
              </w:rPr>
            </w:pPr>
            <w:r>
              <w:rPr>
                <w:b/>
                <w:color w:val="000000"/>
              </w:rPr>
              <w:t>PRESENCIAL</w:t>
            </w:r>
          </w:p>
        </w:tc>
        <w:tc>
          <w:tcPr>
            <w:tcW w:w="2835" w:type="dxa"/>
            <w:shd w:val="clear" w:color="auto" w:fill="B7B7B7"/>
            <w:tcMar>
              <w:top w:w="100" w:type="dxa"/>
              <w:left w:w="100" w:type="dxa"/>
              <w:bottom w:w="100" w:type="dxa"/>
              <w:right w:w="100" w:type="dxa"/>
            </w:tcMar>
          </w:tcPr>
          <w:p w14:paraId="4D0CD1F6" w14:textId="77777777" w:rsidR="00A758B9" w:rsidRDefault="00AD2B27">
            <w:pPr>
              <w:widowControl w:val="0"/>
              <w:pBdr>
                <w:top w:val="nil"/>
                <w:left w:val="nil"/>
                <w:bottom w:val="nil"/>
                <w:right w:val="nil"/>
                <w:between w:val="nil"/>
              </w:pBdr>
              <w:spacing w:after="0" w:line="240" w:lineRule="auto"/>
              <w:jc w:val="center"/>
              <w:rPr>
                <w:b/>
                <w:color w:val="000000"/>
              </w:rPr>
            </w:pPr>
            <w:r>
              <w:rPr>
                <w:b/>
                <w:color w:val="000000"/>
              </w:rPr>
              <w:t>VIRTUAL</w:t>
            </w:r>
          </w:p>
        </w:tc>
        <w:tc>
          <w:tcPr>
            <w:tcW w:w="2835" w:type="dxa"/>
            <w:shd w:val="clear" w:color="auto" w:fill="B7B7B7"/>
            <w:tcMar>
              <w:top w:w="100" w:type="dxa"/>
              <w:left w:w="100" w:type="dxa"/>
              <w:bottom w:w="100" w:type="dxa"/>
              <w:right w:w="100" w:type="dxa"/>
            </w:tcMar>
          </w:tcPr>
          <w:p w14:paraId="7FDF9930" w14:textId="77777777" w:rsidR="00A758B9" w:rsidRDefault="00AD2B27">
            <w:pPr>
              <w:widowControl w:val="0"/>
              <w:pBdr>
                <w:top w:val="nil"/>
                <w:left w:val="nil"/>
                <w:bottom w:val="nil"/>
                <w:right w:val="nil"/>
                <w:between w:val="nil"/>
              </w:pBdr>
              <w:spacing w:after="0" w:line="240" w:lineRule="auto"/>
              <w:jc w:val="center"/>
              <w:rPr>
                <w:b/>
                <w:color w:val="000000"/>
              </w:rPr>
            </w:pPr>
            <w:r>
              <w:rPr>
                <w:b/>
                <w:color w:val="000000"/>
              </w:rPr>
              <w:t>SEMI-PRESENCIAL</w:t>
            </w:r>
          </w:p>
        </w:tc>
      </w:tr>
      <w:tr w:rsidR="00A758B9" w14:paraId="7D97CB19" w14:textId="77777777">
        <w:trPr>
          <w:jc w:val="center"/>
        </w:trPr>
        <w:tc>
          <w:tcPr>
            <w:tcW w:w="2835" w:type="dxa"/>
            <w:shd w:val="clear" w:color="auto" w:fill="auto"/>
            <w:tcMar>
              <w:top w:w="100" w:type="dxa"/>
              <w:left w:w="100" w:type="dxa"/>
              <w:bottom w:w="100" w:type="dxa"/>
              <w:right w:w="100" w:type="dxa"/>
            </w:tcMar>
          </w:tcPr>
          <w:p w14:paraId="12C3CDA3" w14:textId="77777777" w:rsidR="00A758B9" w:rsidRDefault="00A758B9">
            <w:pPr>
              <w:widowControl w:val="0"/>
              <w:pBdr>
                <w:top w:val="nil"/>
                <w:left w:val="nil"/>
                <w:bottom w:val="nil"/>
                <w:right w:val="nil"/>
                <w:between w:val="nil"/>
              </w:pBdr>
              <w:spacing w:after="0" w:line="240" w:lineRule="auto"/>
              <w:jc w:val="center"/>
              <w:rPr>
                <w:color w:val="000000"/>
              </w:rPr>
            </w:pPr>
          </w:p>
        </w:tc>
        <w:tc>
          <w:tcPr>
            <w:tcW w:w="2835" w:type="dxa"/>
            <w:shd w:val="clear" w:color="auto" w:fill="auto"/>
            <w:tcMar>
              <w:top w:w="100" w:type="dxa"/>
              <w:left w:w="100" w:type="dxa"/>
              <w:bottom w:w="100" w:type="dxa"/>
              <w:right w:w="100" w:type="dxa"/>
            </w:tcMar>
          </w:tcPr>
          <w:p w14:paraId="7CB4AAB2" w14:textId="77777777" w:rsidR="00A758B9" w:rsidRDefault="00AD2B27">
            <w:pPr>
              <w:widowControl w:val="0"/>
              <w:pBdr>
                <w:top w:val="nil"/>
                <w:left w:val="nil"/>
                <w:bottom w:val="nil"/>
                <w:right w:val="nil"/>
                <w:between w:val="nil"/>
              </w:pBdr>
              <w:spacing w:after="0" w:line="240" w:lineRule="auto"/>
              <w:jc w:val="center"/>
              <w:rPr>
                <w:color w:val="000000"/>
              </w:rPr>
            </w:pPr>
            <w:r>
              <w:rPr>
                <w:color w:val="000000"/>
              </w:rPr>
              <w:t>X</w:t>
            </w:r>
          </w:p>
        </w:tc>
        <w:tc>
          <w:tcPr>
            <w:tcW w:w="2835" w:type="dxa"/>
            <w:shd w:val="clear" w:color="auto" w:fill="auto"/>
            <w:tcMar>
              <w:top w:w="100" w:type="dxa"/>
              <w:left w:w="100" w:type="dxa"/>
              <w:bottom w:w="100" w:type="dxa"/>
              <w:right w:w="100" w:type="dxa"/>
            </w:tcMar>
          </w:tcPr>
          <w:p w14:paraId="3A056F9E" w14:textId="77777777" w:rsidR="00A758B9" w:rsidRDefault="00A758B9">
            <w:pPr>
              <w:widowControl w:val="0"/>
              <w:pBdr>
                <w:top w:val="nil"/>
                <w:left w:val="nil"/>
                <w:bottom w:val="nil"/>
                <w:right w:val="nil"/>
                <w:between w:val="nil"/>
              </w:pBdr>
              <w:spacing w:after="0" w:line="240" w:lineRule="auto"/>
              <w:jc w:val="center"/>
              <w:rPr>
                <w:color w:val="000000"/>
              </w:rPr>
            </w:pPr>
          </w:p>
        </w:tc>
      </w:tr>
    </w:tbl>
    <w:p w14:paraId="435781F5" w14:textId="77777777" w:rsidR="00A758B9" w:rsidRDefault="00AD2B27">
      <w:pPr>
        <w:keepNext/>
        <w:keepLines/>
        <w:pBdr>
          <w:top w:val="nil"/>
          <w:left w:val="nil"/>
          <w:bottom w:val="nil"/>
          <w:right w:val="nil"/>
          <w:between w:val="nil"/>
        </w:pBdr>
        <w:spacing w:before="480" w:after="120"/>
        <w:rPr>
          <w:b/>
          <w:color w:val="000000"/>
          <w:sz w:val="36"/>
          <w:szCs w:val="36"/>
        </w:rPr>
      </w:pPr>
      <w:bookmarkStart w:id="7" w:name="_heading=h.byp9i53gzqjn" w:colFirst="0" w:colLast="0"/>
      <w:bookmarkEnd w:id="7"/>
      <w:r>
        <w:rPr>
          <w:b/>
          <w:color w:val="000000"/>
          <w:sz w:val="36"/>
          <w:szCs w:val="36"/>
        </w:rPr>
        <w:t>8. MODALIDAD DE EVALUACIÓN</w:t>
      </w:r>
    </w:p>
    <w:tbl>
      <w:tblPr>
        <w:tblStyle w:val="afff"/>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758B9" w14:paraId="0EB3DDD6" w14:textId="77777777">
        <w:tc>
          <w:tcPr>
            <w:tcW w:w="8505" w:type="dxa"/>
            <w:shd w:val="clear" w:color="auto" w:fill="auto"/>
            <w:tcMar>
              <w:top w:w="100" w:type="dxa"/>
              <w:left w:w="100" w:type="dxa"/>
              <w:bottom w:w="100" w:type="dxa"/>
              <w:right w:w="100" w:type="dxa"/>
            </w:tcMar>
          </w:tcPr>
          <w:p w14:paraId="0F2161DC" w14:textId="77777777" w:rsidR="00A758B9" w:rsidRDefault="00AD2B27">
            <w:pPr>
              <w:widowControl w:val="0"/>
              <w:pBdr>
                <w:top w:val="nil"/>
                <w:left w:val="nil"/>
                <w:bottom w:val="nil"/>
                <w:right w:val="nil"/>
                <w:between w:val="nil"/>
              </w:pBdr>
              <w:spacing w:after="0" w:line="240" w:lineRule="auto"/>
              <w:rPr>
                <w:color w:val="000000"/>
              </w:rPr>
            </w:pPr>
            <w:r>
              <w:t>Sin evaluación.</w:t>
            </w:r>
          </w:p>
        </w:tc>
      </w:tr>
    </w:tbl>
    <w:p w14:paraId="255214F7" w14:textId="77777777" w:rsidR="00A758B9" w:rsidRDefault="00AD2B27">
      <w:pPr>
        <w:keepNext/>
        <w:keepLines/>
        <w:pBdr>
          <w:top w:val="nil"/>
          <w:left w:val="nil"/>
          <w:bottom w:val="nil"/>
          <w:right w:val="nil"/>
          <w:between w:val="nil"/>
        </w:pBdr>
        <w:spacing w:before="360" w:after="80"/>
        <w:rPr>
          <w:color w:val="000000"/>
        </w:rPr>
      </w:pPr>
      <w:bookmarkStart w:id="8" w:name="_heading=h.3rdcrjn" w:colFirst="0" w:colLast="0"/>
      <w:bookmarkEnd w:id="8"/>
      <w:r>
        <w:rPr>
          <w:b/>
          <w:color w:val="000000"/>
          <w:sz w:val="32"/>
          <w:szCs w:val="32"/>
        </w:rPr>
        <w:t>9. DURACIÓN</w:t>
      </w:r>
    </w:p>
    <w:tbl>
      <w:tblPr>
        <w:tblStyle w:val="afff0"/>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4294"/>
      </w:tblGrid>
      <w:tr w:rsidR="00A758B9" w14:paraId="304A4901"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666666"/>
            <w:tcMar>
              <w:top w:w="100" w:type="dxa"/>
              <w:left w:w="100" w:type="dxa"/>
              <w:bottom w:w="100" w:type="dxa"/>
              <w:right w:w="100" w:type="dxa"/>
            </w:tcMar>
            <w:vAlign w:val="center"/>
          </w:tcPr>
          <w:p w14:paraId="58FB0060" w14:textId="77777777" w:rsidR="00A758B9" w:rsidRDefault="00AD2B27">
            <w:pPr>
              <w:pBdr>
                <w:top w:val="nil"/>
                <w:left w:val="nil"/>
                <w:bottom w:val="nil"/>
                <w:right w:val="nil"/>
                <w:between w:val="nil"/>
              </w:pBdr>
              <w:jc w:val="center"/>
              <w:rPr>
                <w:b/>
                <w:color w:val="000000"/>
                <w:sz w:val="28"/>
                <w:szCs w:val="28"/>
              </w:rPr>
            </w:pPr>
            <w:r>
              <w:rPr>
                <w:b/>
                <w:color w:val="000000"/>
                <w:sz w:val="28"/>
                <w:szCs w:val="28"/>
              </w:rPr>
              <w:t>CARGA HORARIA</w:t>
            </w:r>
          </w:p>
        </w:tc>
      </w:tr>
      <w:tr w:rsidR="00A758B9" w14:paraId="139629A1"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2CDF74F2" w14:textId="77777777" w:rsidR="00A758B9" w:rsidRDefault="00AD2B27">
            <w:pPr>
              <w:pBdr>
                <w:top w:val="nil"/>
                <w:left w:val="nil"/>
                <w:bottom w:val="nil"/>
                <w:right w:val="nil"/>
                <w:between w:val="nil"/>
              </w:pBdr>
              <w:jc w:val="center"/>
              <w:rPr>
                <w:b/>
                <w:color w:val="000000"/>
              </w:rPr>
            </w:pPr>
            <w:r>
              <w:rPr>
                <w:b/>
                <w:color w:val="000000"/>
              </w:rPr>
              <w:t>CARGA HORARIA TOTAL</w:t>
            </w:r>
          </w:p>
        </w:tc>
      </w:tr>
      <w:tr w:rsidR="00A758B9" w14:paraId="44C7799E" w14:textId="77777777">
        <w:trPr>
          <w:trHeight w:val="703"/>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C7C46F" w14:textId="77777777" w:rsidR="00A758B9" w:rsidRDefault="00AD2B27">
            <w:pPr>
              <w:pBdr>
                <w:top w:val="nil"/>
                <w:left w:val="nil"/>
                <w:bottom w:val="nil"/>
                <w:right w:val="nil"/>
                <w:between w:val="nil"/>
              </w:pBdr>
              <w:jc w:val="center"/>
              <w:rPr>
                <w:b/>
                <w:color w:val="000000"/>
              </w:rPr>
            </w:pPr>
            <w:r>
              <w:rPr>
                <w:b/>
              </w:rPr>
              <w:t>24hs</w:t>
            </w:r>
          </w:p>
        </w:tc>
      </w:tr>
      <w:tr w:rsidR="00A758B9" w14:paraId="6CC5D673"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33916B15" w14:textId="77777777" w:rsidR="00A758B9" w:rsidRDefault="00AD2B27">
            <w:pPr>
              <w:pBdr>
                <w:top w:val="nil"/>
                <w:left w:val="nil"/>
                <w:bottom w:val="nil"/>
                <w:right w:val="nil"/>
                <w:between w:val="nil"/>
              </w:pBdr>
              <w:jc w:val="center"/>
              <w:rPr>
                <w:b/>
                <w:color w:val="000000"/>
              </w:rPr>
            </w:pPr>
            <w:r>
              <w:rPr>
                <w:b/>
                <w:color w:val="000000"/>
              </w:rPr>
              <w:t>CANTIDAD DE CLASES TOTALES</w:t>
            </w:r>
          </w:p>
        </w:tc>
      </w:tr>
      <w:tr w:rsidR="00A758B9" w14:paraId="0E888EDF"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CC0E11A" w14:textId="77777777" w:rsidR="00A758B9" w:rsidRDefault="00AD2B27">
            <w:pPr>
              <w:pBdr>
                <w:top w:val="nil"/>
                <w:left w:val="nil"/>
                <w:bottom w:val="nil"/>
                <w:right w:val="nil"/>
                <w:between w:val="nil"/>
              </w:pBdr>
              <w:jc w:val="center"/>
              <w:rPr>
                <w:b/>
                <w:color w:val="000000"/>
              </w:rPr>
            </w:pPr>
            <w:r>
              <w:rPr>
                <w:b/>
              </w:rPr>
              <w:t>8</w:t>
            </w:r>
          </w:p>
        </w:tc>
      </w:tr>
      <w:tr w:rsidR="00A758B9" w14:paraId="3C4FCD34"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27DDAE32" w14:textId="77777777" w:rsidR="00A758B9" w:rsidRDefault="00AD2B27">
            <w:pPr>
              <w:jc w:val="center"/>
            </w:pPr>
            <w:r>
              <w:rPr>
                <w:b/>
              </w:rPr>
              <w:t>SINCRÓNICA</w:t>
            </w:r>
          </w:p>
        </w:tc>
        <w:tc>
          <w:tcPr>
            <w:tcW w:w="4294" w:type="dxa"/>
            <w:tcBorders>
              <w:top w:val="single" w:sz="4" w:space="0" w:color="000000"/>
              <w:left w:val="single" w:sz="4" w:space="0" w:color="000000"/>
              <w:bottom w:val="single" w:sz="4" w:space="0" w:color="000000"/>
            </w:tcBorders>
            <w:shd w:val="clear" w:color="auto" w:fill="999999"/>
            <w:vAlign w:val="center"/>
          </w:tcPr>
          <w:p w14:paraId="7E707BF1" w14:textId="77777777" w:rsidR="00A758B9" w:rsidRDefault="00AD2B27">
            <w:pPr>
              <w:jc w:val="center"/>
              <w:rPr>
                <w:b/>
              </w:rPr>
            </w:pPr>
            <w:r>
              <w:rPr>
                <w:b/>
              </w:rPr>
              <w:t>ASINCRÓNICA</w:t>
            </w:r>
          </w:p>
        </w:tc>
      </w:tr>
      <w:tr w:rsidR="00A758B9" w14:paraId="2CD64E7A"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801915" w14:textId="77777777" w:rsidR="00A758B9" w:rsidRDefault="00AD2B27">
            <w:pPr>
              <w:jc w:val="center"/>
              <w:rPr>
                <w:b/>
              </w:rPr>
            </w:pPr>
            <w:r>
              <w:rPr>
                <w:b/>
              </w:rPr>
              <w:t>8</w:t>
            </w:r>
          </w:p>
        </w:tc>
        <w:tc>
          <w:tcPr>
            <w:tcW w:w="4294" w:type="dxa"/>
            <w:tcBorders>
              <w:top w:val="single" w:sz="4" w:space="0" w:color="000000"/>
              <w:left w:val="single" w:sz="4" w:space="0" w:color="000000"/>
              <w:bottom w:val="single" w:sz="4" w:space="0" w:color="000000"/>
            </w:tcBorders>
            <w:shd w:val="clear" w:color="auto" w:fill="auto"/>
          </w:tcPr>
          <w:p w14:paraId="394F28A0" w14:textId="77777777" w:rsidR="00A758B9" w:rsidRDefault="00AD2B27">
            <w:pPr>
              <w:jc w:val="center"/>
              <w:rPr>
                <w:b/>
              </w:rPr>
            </w:pPr>
            <w:r>
              <w:rPr>
                <w:b/>
              </w:rPr>
              <w:t>0</w:t>
            </w:r>
          </w:p>
        </w:tc>
      </w:tr>
    </w:tbl>
    <w:p w14:paraId="318B6BFB" w14:textId="77777777" w:rsidR="00A758B9" w:rsidRDefault="00AD2B27">
      <w:pPr>
        <w:keepNext/>
        <w:keepLines/>
        <w:pBdr>
          <w:top w:val="nil"/>
          <w:left w:val="nil"/>
          <w:bottom w:val="nil"/>
          <w:right w:val="nil"/>
          <w:between w:val="nil"/>
        </w:pBdr>
        <w:spacing w:before="480" w:after="120"/>
        <w:rPr>
          <w:b/>
          <w:color w:val="000000"/>
          <w:sz w:val="36"/>
          <w:szCs w:val="36"/>
        </w:rPr>
      </w:pPr>
      <w:bookmarkStart w:id="9" w:name="_heading=h.v397gy8wbsc7" w:colFirst="0" w:colLast="0"/>
      <w:bookmarkEnd w:id="9"/>
      <w:r>
        <w:rPr>
          <w:b/>
          <w:color w:val="000000"/>
          <w:sz w:val="36"/>
          <w:szCs w:val="36"/>
        </w:rPr>
        <w:t>10. REQUISITOS MÍNIMOS DE INSCRIPCIÓN</w:t>
      </w:r>
    </w:p>
    <w:tbl>
      <w:tblPr>
        <w:tblStyle w:val="afff2"/>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758B9" w14:paraId="2138903C" w14:textId="77777777">
        <w:tc>
          <w:tcPr>
            <w:tcW w:w="8505" w:type="dxa"/>
            <w:shd w:val="clear" w:color="auto" w:fill="auto"/>
            <w:tcMar>
              <w:top w:w="100" w:type="dxa"/>
              <w:left w:w="100" w:type="dxa"/>
              <w:bottom w:w="100" w:type="dxa"/>
              <w:right w:w="100" w:type="dxa"/>
            </w:tcMar>
          </w:tcPr>
          <w:p w14:paraId="4CBA46BD" w14:textId="77777777" w:rsidR="00A758B9" w:rsidRDefault="00AD2B27">
            <w:pPr>
              <w:widowControl w:val="0"/>
              <w:pBdr>
                <w:top w:val="nil"/>
                <w:left w:val="nil"/>
                <w:bottom w:val="nil"/>
                <w:right w:val="nil"/>
                <w:between w:val="nil"/>
              </w:pBdr>
              <w:spacing w:after="0" w:line="240" w:lineRule="auto"/>
              <w:rPr>
                <w:color w:val="000000"/>
              </w:rPr>
            </w:pPr>
            <w:r>
              <w:t>50% de una carrera de grado acreditada, o 75% de terciario acreditado</w:t>
            </w:r>
          </w:p>
        </w:tc>
      </w:tr>
    </w:tbl>
    <w:p w14:paraId="120223E5" w14:textId="77777777" w:rsidR="00A758B9" w:rsidRDefault="00A758B9">
      <w:pPr>
        <w:pBdr>
          <w:top w:val="nil"/>
          <w:left w:val="nil"/>
          <w:bottom w:val="nil"/>
          <w:right w:val="nil"/>
          <w:between w:val="nil"/>
        </w:pBdr>
        <w:spacing w:after="0"/>
        <w:ind w:left="-142"/>
        <w:jc w:val="center"/>
        <w:rPr>
          <w:color w:val="000000"/>
        </w:rPr>
      </w:pPr>
    </w:p>
    <w:p w14:paraId="4FD4070F" w14:textId="77777777" w:rsidR="00A758B9" w:rsidRDefault="00AD2B27">
      <w:pPr>
        <w:keepNext/>
        <w:keepLines/>
        <w:pBdr>
          <w:top w:val="nil"/>
          <w:left w:val="nil"/>
          <w:bottom w:val="nil"/>
          <w:right w:val="nil"/>
          <w:between w:val="nil"/>
        </w:pBdr>
        <w:spacing w:before="480" w:after="120"/>
        <w:jc w:val="center"/>
        <w:rPr>
          <w:b/>
          <w:color w:val="000000"/>
          <w:sz w:val="48"/>
          <w:szCs w:val="48"/>
        </w:rPr>
      </w:pPr>
      <w:bookmarkStart w:id="10" w:name="_heading=h.44sinio" w:colFirst="0" w:colLast="0"/>
      <w:bookmarkStart w:id="11" w:name="_heading=h.2jxsxqh" w:colFirst="0" w:colLast="0"/>
      <w:bookmarkStart w:id="12" w:name="_heading=h.i7v2unvqdzg8" w:colFirst="0" w:colLast="0"/>
      <w:bookmarkEnd w:id="10"/>
      <w:bookmarkEnd w:id="11"/>
      <w:bookmarkEnd w:id="12"/>
      <w:r>
        <w:rPr>
          <w:b/>
          <w:color w:val="000000"/>
          <w:sz w:val="48"/>
          <w:szCs w:val="48"/>
        </w:rPr>
        <w:t>NOTAS - OBSERVACIONES</w:t>
      </w:r>
    </w:p>
    <w:tbl>
      <w:tblPr>
        <w:tblStyle w:val="afff6"/>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758B9" w14:paraId="6E5A8A00" w14:textId="77777777">
        <w:tc>
          <w:tcPr>
            <w:tcW w:w="8505" w:type="dxa"/>
            <w:shd w:val="clear" w:color="auto" w:fill="auto"/>
            <w:tcMar>
              <w:top w:w="100" w:type="dxa"/>
              <w:left w:w="100" w:type="dxa"/>
              <w:bottom w:w="100" w:type="dxa"/>
              <w:right w:w="100" w:type="dxa"/>
            </w:tcMar>
          </w:tcPr>
          <w:p w14:paraId="07BCBAE5" w14:textId="76CE8D09" w:rsidR="00A758B9" w:rsidRDefault="00AD2B27">
            <w:pPr>
              <w:widowControl w:val="0"/>
              <w:pBdr>
                <w:top w:val="nil"/>
                <w:left w:val="nil"/>
                <w:bottom w:val="nil"/>
                <w:right w:val="nil"/>
                <w:between w:val="nil"/>
              </w:pBdr>
              <w:spacing w:after="0" w:line="240" w:lineRule="auto"/>
              <w:rPr>
                <w:color w:val="000000"/>
              </w:rPr>
            </w:pPr>
            <w:r>
              <w:t>Si bien el contenido está diseñado para dictarse de manera sincrónica, el curso cuenta con la posibilidad de acceder a las grabaciones de las clases para aquellos estudiantes que no puedan asistir en los días y horarios pactados.</w:t>
            </w:r>
          </w:p>
        </w:tc>
      </w:tr>
    </w:tbl>
    <w:p w14:paraId="226D25A7" w14:textId="77777777" w:rsidR="00A758B9" w:rsidRDefault="00A758B9">
      <w:pPr>
        <w:pBdr>
          <w:top w:val="nil"/>
          <w:left w:val="nil"/>
          <w:bottom w:val="nil"/>
          <w:right w:val="nil"/>
          <w:between w:val="nil"/>
        </w:pBdr>
        <w:ind w:left="-1146"/>
        <w:rPr>
          <w:rFonts w:ascii="Times New Roman" w:eastAsia="Times New Roman" w:hAnsi="Times New Roman" w:cs="Times New Roman"/>
          <w:b/>
          <w:color w:val="000000"/>
          <w:sz w:val="32"/>
          <w:szCs w:val="32"/>
        </w:rPr>
      </w:pPr>
    </w:p>
    <w:sectPr w:rsidR="00A758B9">
      <w:headerReference w:type="default" r:id="rId9"/>
      <w:footerReference w:type="default" r:id="rId10"/>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2819" w14:textId="77777777" w:rsidR="0041743A" w:rsidRDefault="0041743A">
      <w:pPr>
        <w:spacing w:after="0" w:line="240" w:lineRule="auto"/>
      </w:pPr>
      <w:r>
        <w:separator/>
      </w:r>
    </w:p>
  </w:endnote>
  <w:endnote w:type="continuationSeparator" w:id="0">
    <w:p w14:paraId="6B1911EB" w14:textId="77777777" w:rsidR="0041743A" w:rsidRDefault="0041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DA06" w14:textId="77777777" w:rsidR="00A758B9" w:rsidRDefault="00A758B9">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p>
  <w:p w14:paraId="3D4DE7D4" w14:textId="77777777" w:rsidR="00A758B9" w:rsidRDefault="0041743A">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r>
      <w:pict w14:anchorId="55F2F5EE">
        <v:rect id="_x0000_i1025" style="width:0;height:1.5pt" o:hralign="center" o:hrstd="t" o:hr="t" fillcolor="#a0a0a0" stroked="f"/>
      </w:pict>
    </w:r>
  </w:p>
  <w:p w14:paraId="70C38D13" w14:textId="77777777" w:rsidR="00A758B9" w:rsidRDefault="00AD2B27">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64D18CA4" wp14:editId="560D5FF8">
          <wp:extent cx="2694082" cy="560697"/>
          <wp:effectExtent l="0" t="0" r="0" b="0"/>
          <wp:docPr id="8" name="image2.png" descr="EXTENSIONpng"/>
          <wp:cNvGraphicFramePr/>
          <a:graphic xmlns:a="http://schemas.openxmlformats.org/drawingml/2006/main">
            <a:graphicData uri="http://schemas.openxmlformats.org/drawingml/2006/picture">
              <pic:pic xmlns:pic="http://schemas.openxmlformats.org/drawingml/2006/picture">
                <pic:nvPicPr>
                  <pic:cNvPr id="0" name="image2.png" descr="EXTENSIONpng"/>
                  <pic:cNvPicPr preferRelativeResize="0"/>
                </pic:nvPicPr>
                <pic:blipFill>
                  <a:blip r:embed="rId1"/>
                  <a:srcRect/>
                  <a:stretch>
                    <a:fillRect/>
                  </a:stretch>
                </pic:blipFill>
                <pic:spPr>
                  <a:xfrm>
                    <a:off x="0" y="0"/>
                    <a:ext cx="2694082" cy="560697"/>
                  </a:xfrm>
                  <a:prstGeom prst="rect">
                    <a:avLst/>
                  </a:prstGeom>
                  <a:ln/>
                </pic:spPr>
              </pic:pic>
            </a:graphicData>
          </a:graphic>
        </wp:inline>
      </w:drawing>
    </w:r>
    <w:r>
      <w:rPr>
        <w:color w:val="000000"/>
      </w:rPr>
      <w:tab/>
    </w:r>
    <w:r>
      <w:rPr>
        <w:color w:val="000000"/>
      </w:rPr>
      <w:tab/>
    </w:r>
    <w:r>
      <w:rPr>
        <w:color w:val="000000"/>
      </w:rPr>
      <w:fldChar w:fldCharType="begin"/>
    </w:r>
    <w:r>
      <w:rPr>
        <w:color w:val="000000"/>
      </w:rPr>
      <w:instrText>PAGE</w:instrText>
    </w:r>
    <w:r>
      <w:rPr>
        <w:color w:val="000000"/>
      </w:rPr>
      <w:fldChar w:fldCharType="separate"/>
    </w:r>
    <w:r w:rsidR="000F121A">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0F121A">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AAD8" w14:textId="77777777" w:rsidR="0041743A" w:rsidRDefault="0041743A">
      <w:pPr>
        <w:spacing w:after="0" w:line="240" w:lineRule="auto"/>
      </w:pPr>
      <w:r>
        <w:separator/>
      </w:r>
    </w:p>
  </w:footnote>
  <w:footnote w:type="continuationSeparator" w:id="0">
    <w:p w14:paraId="0C929861" w14:textId="77777777" w:rsidR="0041743A" w:rsidRDefault="00417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3A79" w14:textId="51A69774" w:rsidR="00A758B9" w:rsidRDefault="00A078FB">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114300" distR="114300" simplePos="0" relativeHeight="251659264" behindDoc="1" locked="0" layoutInCell="1" allowOverlap="1" wp14:anchorId="7F0D2B0F" wp14:editId="646BE312">
          <wp:simplePos x="0" y="0"/>
          <wp:positionH relativeFrom="column">
            <wp:posOffset>-942975</wp:posOffset>
          </wp:positionH>
          <wp:positionV relativeFrom="paragraph">
            <wp:posOffset>-448310</wp:posOffset>
          </wp:positionV>
          <wp:extent cx="7227830" cy="110707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7227830" cy="1107079"/>
                  </a:xfrm>
                  <a:prstGeom prst="rect">
                    <a:avLst/>
                  </a:prstGeom>
                </pic:spPr>
              </pic:pic>
            </a:graphicData>
          </a:graphic>
          <wp14:sizeRelH relativeFrom="page">
            <wp14:pctWidth>0</wp14:pctWidth>
          </wp14:sizeRelH>
          <wp14:sizeRelV relativeFrom="page">
            <wp14:pctHeight>0</wp14:pctHeight>
          </wp14:sizeRelV>
        </wp:anchor>
      </w:drawing>
    </w:r>
  </w:p>
  <w:p w14:paraId="4D9FFEBC" w14:textId="77777777" w:rsidR="00A758B9" w:rsidRDefault="00A758B9">
    <w:pPr>
      <w:pBdr>
        <w:top w:val="nil"/>
        <w:left w:val="nil"/>
        <w:bottom w:val="nil"/>
        <w:right w:val="nil"/>
        <w:between w:val="nil"/>
      </w:pBdr>
      <w:tabs>
        <w:tab w:val="center" w:pos="4419"/>
        <w:tab w:val="right" w:pos="8838"/>
      </w:tabs>
      <w:spacing w:after="0" w:line="240" w:lineRule="auto"/>
      <w:jc w:val="center"/>
      <w:rPr>
        <w:color w:val="000000"/>
      </w:rPr>
    </w:pPr>
    <w:bookmarkStart w:id="13" w:name="_heading=h.z337ya" w:colFirst="0" w:colLast="0"/>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579A7"/>
    <w:multiLevelType w:val="hybridMultilevel"/>
    <w:tmpl w:val="BC6C23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56815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B9"/>
    <w:rsid w:val="000F121A"/>
    <w:rsid w:val="001B31E0"/>
    <w:rsid w:val="0041743A"/>
    <w:rsid w:val="00A078FB"/>
    <w:rsid w:val="00A758B9"/>
    <w:rsid w:val="00AD2B27"/>
    <w:rsid w:val="00B4457F"/>
    <w:rsid w:val="00F738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6B1FA"/>
  <w15:docId w15:val="{C9861F1E-AD4F-4915-9877-8319E49F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Pr>
      <w:color w:val="0000FF" w:themeColor="hyperlink"/>
      <w:u w:val="single"/>
    </w:rPr>
  </w:style>
  <w:style w:type="paragraph" w:styleId="Encabezado">
    <w:name w:val="header"/>
    <w:basedOn w:val="Normal"/>
    <w:link w:val="EncabezadoCar"/>
    <w:uiPriority w:val="99"/>
    <w:unhideWhenUsed/>
    <w:rsid w:val="00263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E6F"/>
  </w:style>
  <w:style w:type="paragraph" w:styleId="Piedepgina">
    <w:name w:val="footer"/>
    <w:basedOn w:val="Normal"/>
    <w:link w:val="PiedepginaCar"/>
    <w:uiPriority w:val="99"/>
    <w:unhideWhenUsed/>
    <w:rsid w:val="00263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E6F"/>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tblPr>
      <w:tblStyleRowBandSize w:val="1"/>
      <w:tblStyleColBandSize w:val="1"/>
      <w:tblCellMar>
        <w:top w:w="100" w:type="dxa"/>
        <w:left w:w="100" w:type="dxa"/>
        <w:bottom w:w="100" w:type="dxa"/>
        <w:right w:w="100" w:type="dxa"/>
      </w:tblCellMar>
    </w:tblPr>
  </w:style>
  <w:style w:type="table" w:customStyle="1" w:styleId="afff6">
    <w:basedOn w:val="TableNormal0"/>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B4457F"/>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ta.gob.ar/sites/default/files/script-tmp-inta__paf_y_acceso_a_la_tierra_urban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DH88Fi08DpuQjAAFMx9+M7B/w==">AMUW2mV7ENB9suWCPq5o1qlfp/Ekj5jbJ2oN7vZketACCUXh7D59rdLTvtnpkGh9E8xdBe1CCmCwr7Yujuo8+CjQSjJDkdttU7TmuwjrMw/FrYj/CEnWC5sQ7yLKbXTZMvYfpEa1QuzDcB+5+LMoPjKzaf/9YdJEYhgA1omIYmukXDDmh7Ggt62Dzy/nse4vY85GW/WLf3P7kxt05FJmX5BpU0o7lZmTALYWL0dq+AW++/kfd9HPsO/k+oyvxT+GTwMlGS95/jArOqdQ6qtQUu470kHyAQIKW2x9hI6zp5i8+kPtb3SMGu8X3pGmTSZol+EuEgMHkM/Cdp2H3B2HrhY8VxaTNkUEXraVC/+kw3Yr673p461eivBMi2i6bIg+ckfOgfwur58F/m7tg7jesvy+z+xaIug0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3172</Words>
  <Characters>17452</Characters>
  <Application>Microsoft Office Word</Application>
  <DocSecurity>0</DocSecurity>
  <Lines>145</Lines>
  <Paragraphs>41</Paragraphs>
  <ScaleCrop>false</ScaleCrop>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nicolas Valci</cp:lastModifiedBy>
  <cp:revision>5</cp:revision>
  <dcterms:created xsi:type="dcterms:W3CDTF">2021-09-04T15:31:00Z</dcterms:created>
  <dcterms:modified xsi:type="dcterms:W3CDTF">2022-06-01T16:55:00Z</dcterms:modified>
</cp:coreProperties>
</file>