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40" w:rsidRDefault="001A5117" w:rsidP="00E34D3A">
      <w:pPr>
        <w:spacing w:line="276" w:lineRule="auto"/>
        <w:jc w:val="center"/>
        <w:rPr>
          <w:rFonts w:ascii="Teko" w:eastAsia="Teko" w:hAnsi="Teko" w:cs="Teko"/>
          <w:b/>
          <w:sz w:val="40"/>
          <w:szCs w:val="40"/>
        </w:rPr>
      </w:pPr>
      <w:bookmarkStart w:id="0" w:name="_GoBack"/>
      <w:bookmarkEnd w:id="0"/>
      <w:r>
        <w:rPr>
          <w:rFonts w:ascii="Teko" w:eastAsia="Teko" w:hAnsi="Teko" w:cs="Teko"/>
          <w:b/>
          <w:sz w:val="40"/>
          <w:szCs w:val="40"/>
        </w:rPr>
        <w:t>Maestr</w:t>
      </w:r>
      <w:r w:rsidR="007278A9">
        <w:rPr>
          <w:rFonts w:ascii="Teko" w:eastAsia="Teko" w:hAnsi="Teko" w:cs="Teko"/>
          <w:b/>
          <w:sz w:val="40"/>
          <w:szCs w:val="40"/>
        </w:rPr>
        <w:t xml:space="preserve">ía en </w:t>
      </w:r>
      <w:r w:rsidR="00D05A84">
        <w:rPr>
          <w:rFonts w:ascii="Teko" w:eastAsia="Teko" w:hAnsi="Teko" w:cs="Teko"/>
          <w:b/>
          <w:sz w:val="40"/>
          <w:szCs w:val="40"/>
        </w:rPr>
        <w:t>C</w:t>
      </w:r>
      <w:r w:rsidR="00E53554">
        <w:rPr>
          <w:rFonts w:ascii="Teko" w:eastAsia="Teko" w:hAnsi="Teko" w:cs="Teko"/>
          <w:b/>
          <w:sz w:val="40"/>
          <w:szCs w:val="40"/>
        </w:rPr>
        <w:t>iencias Sociales del Trabajo</w:t>
      </w:r>
      <w:r w:rsidR="000B7640">
        <w:rPr>
          <w:rFonts w:ascii="Teko" w:eastAsia="Teko" w:hAnsi="Teko" w:cs="Teko"/>
          <w:b/>
          <w:sz w:val="40"/>
          <w:szCs w:val="40"/>
        </w:rPr>
        <w:t xml:space="preserve"> </w:t>
      </w:r>
      <w:r w:rsidR="00D85B1E">
        <w:rPr>
          <w:rFonts w:ascii="Teko" w:eastAsia="Teko" w:hAnsi="Teko" w:cs="Teko"/>
          <w:b/>
          <w:sz w:val="40"/>
          <w:szCs w:val="40"/>
        </w:rPr>
        <w:t xml:space="preserve"> </w:t>
      </w:r>
      <w:r w:rsidR="007278A9">
        <w:rPr>
          <w:rFonts w:ascii="Teko" w:eastAsia="Teko" w:hAnsi="Teko" w:cs="Teko"/>
          <w:b/>
          <w:sz w:val="40"/>
          <w:szCs w:val="40"/>
        </w:rPr>
        <w:t xml:space="preserve">– </w:t>
      </w:r>
      <w:r w:rsidR="000B7640">
        <w:rPr>
          <w:rFonts w:ascii="Teko" w:eastAsia="Teko" w:hAnsi="Teko" w:cs="Teko"/>
          <w:b/>
          <w:sz w:val="40"/>
          <w:szCs w:val="40"/>
        </w:rPr>
        <w:t xml:space="preserve"> </w:t>
      </w:r>
    </w:p>
    <w:p w:rsidR="000E4F4D" w:rsidRDefault="007278A9" w:rsidP="00E34D3A">
      <w:pPr>
        <w:spacing w:line="276" w:lineRule="auto"/>
        <w:jc w:val="center"/>
        <w:rPr>
          <w:rFonts w:ascii="Teko" w:eastAsia="Teko" w:hAnsi="Teko" w:cs="Teko"/>
          <w:b/>
          <w:sz w:val="40"/>
          <w:szCs w:val="40"/>
        </w:rPr>
      </w:pPr>
      <w:r>
        <w:rPr>
          <w:rFonts w:ascii="Teko" w:eastAsia="Teko" w:hAnsi="Teko" w:cs="Teko"/>
          <w:b/>
          <w:sz w:val="40"/>
          <w:szCs w:val="40"/>
        </w:rPr>
        <w:t xml:space="preserve">Ciclo </w:t>
      </w:r>
      <w:r w:rsidR="00D85B1E">
        <w:rPr>
          <w:rFonts w:ascii="Teko" w:eastAsia="Teko" w:hAnsi="Teko" w:cs="Teko"/>
          <w:b/>
          <w:sz w:val="40"/>
          <w:szCs w:val="40"/>
        </w:rPr>
        <w:t xml:space="preserve"> l</w:t>
      </w:r>
      <w:r>
        <w:rPr>
          <w:rFonts w:ascii="Teko" w:eastAsia="Teko" w:hAnsi="Teko" w:cs="Teko"/>
          <w:b/>
          <w:sz w:val="40"/>
          <w:szCs w:val="40"/>
        </w:rPr>
        <w:t>ectivo 202</w:t>
      </w:r>
      <w:r w:rsidR="00D37A5A">
        <w:rPr>
          <w:rFonts w:ascii="Teko" w:eastAsia="Teko" w:hAnsi="Teko" w:cs="Teko"/>
          <w:b/>
          <w:sz w:val="40"/>
          <w:szCs w:val="40"/>
        </w:rPr>
        <w:t>3</w:t>
      </w:r>
      <w:r w:rsidR="000E4F4D">
        <w:rPr>
          <w:rFonts w:ascii="Teko" w:eastAsia="Teko" w:hAnsi="Teko" w:cs="Teko"/>
          <w:b/>
          <w:sz w:val="40"/>
          <w:szCs w:val="40"/>
        </w:rPr>
        <w:t xml:space="preserve"> </w:t>
      </w:r>
    </w:p>
    <w:p w:rsidR="00F2149E" w:rsidRPr="000E4F4D" w:rsidRDefault="000E4F4D" w:rsidP="00E34D3A">
      <w:pPr>
        <w:spacing w:line="276" w:lineRule="auto"/>
        <w:jc w:val="center"/>
        <w:rPr>
          <w:b/>
          <w:sz w:val="52"/>
          <w:szCs w:val="52"/>
        </w:rPr>
      </w:pPr>
      <w:r w:rsidRPr="000E4F4D">
        <w:rPr>
          <w:rFonts w:ascii="Teko" w:eastAsia="Teko" w:hAnsi="Teko" w:cs="Teko"/>
          <w:b/>
          <w:sz w:val="52"/>
          <w:szCs w:val="52"/>
        </w:rPr>
        <w:t xml:space="preserve">Derecho del Trabajo y la Seguridad Social </w:t>
      </w:r>
    </w:p>
    <w:p w:rsidR="00F2149E" w:rsidRDefault="00F2149E" w:rsidP="00E34D3A">
      <w:pPr>
        <w:spacing w:line="276" w:lineRule="auto"/>
        <w:jc w:val="both"/>
        <w:rPr>
          <w:b/>
          <w:sz w:val="28"/>
          <w:szCs w:val="28"/>
        </w:rPr>
        <w:sectPr w:rsidR="00F2149E">
          <w:headerReference w:type="default" r:id="rId8"/>
          <w:pgSz w:w="11906" w:h="16838"/>
          <w:pgMar w:top="1985" w:right="1701" w:bottom="1417" w:left="1701" w:header="568" w:footer="708" w:gutter="0"/>
          <w:pgNumType w:start="1"/>
          <w:cols w:space="720" w:equalWidth="0">
            <w:col w:w="8838"/>
          </w:cols>
        </w:sectPr>
      </w:pPr>
    </w:p>
    <w:p w:rsidR="00F2149E" w:rsidRDefault="001A5117" w:rsidP="00E34D3A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Docente(s)</w:t>
      </w:r>
    </w:p>
    <w:p w:rsidR="00F2149E" w:rsidRDefault="00F2149E" w:rsidP="00E34D3A">
      <w:pPr>
        <w:spacing w:line="276" w:lineRule="auto"/>
        <w:jc w:val="both"/>
        <w:rPr>
          <w:b/>
          <w:sz w:val="24"/>
          <w:szCs w:val="24"/>
        </w:rPr>
        <w:sectPr w:rsidR="00F2149E">
          <w:type w:val="continuous"/>
          <w:pgSz w:w="11906" w:h="16838"/>
          <w:pgMar w:top="1523" w:right="1701" w:bottom="1417" w:left="1701" w:header="568" w:footer="708" w:gutter="0"/>
          <w:cols w:space="720" w:equalWidth="0">
            <w:col w:w="8838"/>
          </w:cols>
        </w:sectPr>
      </w:pP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Roberto C. Pompa</w:t>
      </w: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Viviana Mariel </w:t>
      </w:r>
      <w:proofErr w:type="spellStart"/>
      <w:r>
        <w:rPr>
          <w:b/>
          <w:sz w:val="24"/>
          <w:szCs w:val="24"/>
        </w:rPr>
        <w:t>Dobarro</w:t>
      </w:r>
      <w:proofErr w:type="spellEnd"/>
      <w:r>
        <w:rPr>
          <w:b/>
          <w:sz w:val="24"/>
          <w:szCs w:val="24"/>
        </w:rPr>
        <w:t xml:space="preserve"> </w:t>
      </w: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</w:p>
    <w:p w:rsidR="00D05A84" w:rsidRDefault="00D05A84" w:rsidP="00E34D3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Adriana </w:t>
      </w:r>
      <w:proofErr w:type="spellStart"/>
      <w:r>
        <w:rPr>
          <w:b/>
          <w:sz w:val="24"/>
          <w:szCs w:val="24"/>
        </w:rPr>
        <w:t>Micale</w:t>
      </w:r>
      <w:proofErr w:type="spellEnd"/>
    </w:p>
    <w:p w:rsidR="00F2149E" w:rsidRDefault="001A5117" w:rsidP="00E34D3A">
      <w:pPr>
        <w:spacing w:line="276" w:lineRule="auto"/>
        <w:jc w:val="both"/>
        <w:rPr>
          <w:sz w:val="28"/>
          <w:szCs w:val="28"/>
        </w:rPr>
      </w:pPr>
      <w:r>
        <w:br w:type="column"/>
      </w:r>
      <w:r w:rsidR="00D05A84" w:rsidRPr="00D05A84">
        <w:rPr>
          <w:rFonts w:asciiTheme="majorHAnsi" w:hAnsiTheme="majorHAnsi" w:cstheme="majorHAnsi"/>
          <w:noProof/>
          <w:sz w:val="24"/>
          <w:szCs w:val="24"/>
          <w:lang w:eastAsia="es-AR"/>
        </w:rPr>
        <w:lastRenderedPageBreak/>
        <w:t>Profesor Regular Titular de Cátedra Plenario de Derecho del Trabajo en la Facultad de Ciencias Sociales UBA . Especialista en Derecho Constitucional Social y Magister en Empleo, Relaciones Laborales y Diálogo Social, ambos por la Universidad de Castilla La Mancha, España</w:t>
      </w:r>
    </w:p>
    <w:p w:rsidR="00D05A84" w:rsidRDefault="00D05A84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5A84">
        <w:rPr>
          <w:rFonts w:asciiTheme="majorHAnsi" w:hAnsiTheme="majorHAnsi" w:cstheme="majorHAnsi"/>
          <w:sz w:val="24"/>
          <w:szCs w:val="24"/>
        </w:rPr>
        <w:t>Especialista en Derecho del Trabajo UBA. Especialista en Administración de Justicia UBA. Master en Igualdad y Género</w:t>
      </w:r>
      <w:r w:rsidR="002C61D3">
        <w:rPr>
          <w:rFonts w:asciiTheme="majorHAnsi" w:hAnsiTheme="majorHAnsi" w:cstheme="majorHAnsi"/>
          <w:sz w:val="24"/>
          <w:szCs w:val="24"/>
        </w:rPr>
        <w:t xml:space="preserve"> y </w:t>
      </w:r>
      <w:r w:rsidRPr="00D05A84">
        <w:rPr>
          <w:rFonts w:asciiTheme="majorHAnsi" w:hAnsiTheme="majorHAnsi" w:cstheme="majorHAnsi"/>
          <w:sz w:val="24"/>
          <w:szCs w:val="24"/>
        </w:rPr>
        <w:t xml:space="preserve"> Máster en Empleo, Relaciones Laborales y Diálogo Social en Europa, Universidad Castilla La Mancha. Profesora Titular Derecho del Trabajo I Carrera Relaciones del Trabajo, UBA.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D05A84" w:rsidRPr="00D05A84" w:rsidRDefault="00D05A84" w:rsidP="00E34D3A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  <w:sectPr w:rsidR="00D05A84" w:rsidRPr="00D05A84">
          <w:type w:val="continuous"/>
          <w:pgSz w:w="11906" w:h="16838"/>
          <w:pgMar w:top="1523" w:right="1701" w:bottom="1417" w:left="1701" w:header="568" w:footer="708" w:gutter="0"/>
          <w:cols w:num="2" w:space="720" w:equalWidth="0">
            <w:col w:w="3897" w:space="708"/>
            <w:col w:w="3897" w:space="0"/>
          </w:cols>
        </w:sectPr>
      </w:pPr>
      <w:r>
        <w:rPr>
          <w:rFonts w:asciiTheme="majorHAnsi" w:hAnsiTheme="majorHAnsi" w:cstheme="majorHAnsi"/>
          <w:sz w:val="24"/>
          <w:szCs w:val="24"/>
        </w:rPr>
        <w:t>M</w:t>
      </w:r>
      <w:r w:rsidRPr="00D05A84">
        <w:rPr>
          <w:rFonts w:asciiTheme="majorHAnsi" w:hAnsiTheme="majorHAnsi" w:cstheme="majorHAnsi"/>
          <w:sz w:val="24"/>
          <w:szCs w:val="24"/>
        </w:rPr>
        <w:t xml:space="preserve">agister </w:t>
      </w:r>
      <w:r w:rsidRPr="00D05A84">
        <w:rPr>
          <w:rFonts w:asciiTheme="majorHAnsi" w:hAnsiTheme="majorHAnsi" w:cstheme="majorHAnsi"/>
          <w:sz w:val="24"/>
          <w:szCs w:val="24"/>
          <w:lang w:val="es-ES"/>
        </w:rPr>
        <w:t xml:space="preserve">en </w:t>
      </w:r>
      <w:r w:rsidRPr="00D05A84">
        <w:rPr>
          <w:rFonts w:asciiTheme="majorHAnsi" w:hAnsiTheme="majorHAnsi" w:cstheme="majorHAnsi"/>
          <w:sz w:val="24"/>
          <w:szCs w:val="24"/>
        </w:rPr>
        <w:t>Seguridad Social y en Prevención y Protección de Riesgos del Trabajo. Universidad ALCALA de Henares</w:t>
      </w:r>
      <w:r w:rsidRPr="00D05A84">
        <w:rPr>
          <w:rFonts w:asciiTheme="majorHAnsi" w:hAnsiTheme="majorHAnsi" w:cstheme="majorHAnsi"/>
          <w:sz w:val="24"/>
          <w:szCs w:val="24"/>
          <w:lang w:val="es-ES"/>
        </w:rPr>
        <w:t>.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D05A84">
        <w:rPr>
          <w:rFonts w:asciiTheme="majorHAnsi" w:hAnsiTheme="majorHAnsi" w:cstheme="majorHAnsi"/>
          <w:sz w:val="24"/>
          <w:szCs w:val="24"/>
        </w:rPr>
        <w:t xml:space="preserve">Especialista en Políticas De Seguridad Social para América Latina, OIT y Universidad de </w:t>
      </w:r>
      <w:proofErr w:type="spellStart"/>
      <w:r w:rsidRPr="00D05A84">
        <w:rPr>
          <w:rFonts w:asciiTheme="majorHAnsi" w:hAnsiTheme="majorHAnsi" w:cstheme="majorHAnsi"/>
          <w:sz w:val="24"/>
          <w:szCs w:val="24"/>
        </w:rPr>
        <w:t>Turin</w:t>
      </w:r>
      <w:proofErr w:type="spellEnd"/>
      <w:r w:rsidRPr="00D05A84">
        <w:rPr>
          <w:rFonts w:asciiTheme="majorHAnsi" w:hAnsiTheme="majorHAnsi" w:cstheme="majorHAnsi"/>
          <w:sz w:val="24"/>
          <w:szCs w:val="24"/>
        </w:rPr>
        <w:t xml:space="preserve">. Especialista en Derecho Social, Magister en Empleo. Profesora Regular Investigadora de la </w:t>
      </w:r>
      <w:r w:rsidR="002C61D3">
        <w:rPr>
          <w:rFonts w:asciiTheme="majorHAnsi" w:hAnsiTheme="majorHAnsi" w:cstheme="majorHAnsi"/>
          <w:sz w:val="24"/>
          <w:szCs w:val="24"/>
        </w:rPr>
        <w:t>F</w:t>
      </w:r>
      <w:r w:rsidRPr="00D05A84">
        <w:rPr>
          <w:rFonts w:asciiTheme="majorHAnsi" w:hAnsiTheme="majorHAnsi" w:cstheme="majorHAnsi"/>
          <w:sz w:val="24"/>
          <w:szCs w:val="24"/>
        </w:rPr>
        <w:t xml:space="preserve">acultad de Derecho en la Carrera de Relaciones del Trabajo de la Facultad de Ciencias Sociales ambas, </w:t>
      </w:r>
      <w:r w:rsidRPr="00D05A84">
        <w:rPr>
          <w:rFonts w:asciiTheme="majorHAnsi" w:hAnsiTheme="majorHAnsi" w:cstheme="majorHAnsi"/>
          <w:sz w:val="24"/>
          <w:szCs w:val="24"/>
          <w:lang w:val="es-ES"/>
        </w:rPr>
        <w:t>UBA.</w:t>
      </w:r>
      <w:r w:rsidRPr="00D05A8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85B1E" w:rsidRDefault="001A5117" w:rsidP="00E34D3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Fundamentación </w:t>
      </w:r>
    </w:p>
    <w:p w:rsidR="00E53554" w:rsidRPr="005C78FE" w:rsidRDefault="00E53554" w:rsidP="00E34D3A">
      <w:pPr>
        <w:spacing w:line="276" w:lineRule="auto"/>
        <w:jc w:val="both"/>
        <w:rPr>
          <w:rFonts w:ascii="Courier New" w:hAnsi="Courier New" w:cs="Courier New"/>
          <w:sz w:val="24"/>
          <w:szCs w:val="24"/>
          <w:lang w:val="es-MX"/>
        </w:rPr>
      </w:pPr>
      <w:r w:rsidRPr="00D85B1E">
        <w:rPr>
          <w:rFonts w:asciiTheme="majorHAnsi" w:hAnsiTheme="majorHAnsi" w:cstheme="majorHAnsi"/>
          <w:sz w:val="24"/>
          <w:szCs w:val="24"/>
        </w:rPr>
        <w:t>El estudio y abordaje de las ciencias sociales del trabajo requiere analizar el marco jurídico nacional e internacional que regula las relaciones laborales y las nuevas modalidades de prestación de tareas, de interacción y expresiones que se verifican en el mundo del trabajo. Para ello debemos partir de reflexionar sobre e</w:t>
      </w:r>
      <w:r w:rsidRPr="00D85B1E">
        <w:rPr>
          <w:rFonts w:asciiTheme="majorHAnsi" w:hAnsiTheme="majorHAnsi" w:cstheme="majorHAnsi"/>
          <w:sz w:val="24"/>
          <w:szCs w:val="24"/>
          <w:lang w:val="es-MX"/>
        </w:rPr>
        <w:t xml:space="preserve">l derecho del trabajo como una rama del derecho unidireccionalmente tuitiva que tiene su eje y centro en la protección de la persona que trabaja; a la par que como disciplina notoriamente dinámica, tanto porque evoluciona al influjo de los conflictos, de corte individual o colectivo, así como por los permanentes aportes provenientes de la legislación, la doctrina y las decisiones judiciales. </w:t>
      </w:r>
    </w:p>
    <w:p w:rsidR="00F2149E" w:rsidRDefault="001A5117" w:rsidP="00E34D3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F2149E" w:rsidRPr="00D85B1E" w:rsidRDefault="00D85B1E" w:rsidP="00E34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85B1E">
        <w:rPr>
          <w:rFonts w:asciiTheme="majorHAnsi" w:hAnsiTheme="majorHAnsi" w:cstheme="majorHAnsi"/>
          <w:sz w:val="24"/>
          <w:szCs w:val="24"/>
          <w:lang w:val="es-MX"/>
        </w:rPr>
        <w:t>Revisar los principios generales del derecho del trabajo y que inspiran las normas laborales, que contribuyen a su interpretación y aportan herramientas para resolver los vacíos normativos</w:t>
      </w:r>
      <w:r w:rsidRPr="00D85B1E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</w:p>
    <w:p w:rsidR="00D85B1E" w:rsidRPr="00D85B1E" w:rsidRDefault="00D85B1E" w:rsidP="00E34D3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5B1E">
        <w:rPr>
          <w:rFonts w:asciiTheme="majorHAnsi" w:hAnsiTheme="majorHAnsi" w:cstheme="majorHAnsi"/>
          <w:sz w:val="24"/>
          <w:szCs w:val="24"/>
        </w:rPr>
        <w:t xml:space="preserve">Analizar el surgimiento del derecho internacional de los derechos humanos y del derecho del trabajo desde la perspectiva de la revalorización de la persona humana. </w:t>
      </w:r>
    </w:p>
    <w:p w:rsidR="00F2149E" w:rsidRPr="00D85B1E" w:rsidRDefault="00D85B1E" w:rsidP="00E34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85B1E">
        <w:rPr>
          <w:rFonts w:asciiTheme="majorHAnsi" w:hAnsiTheme="majorHAnsi" w:cstheme="majorHAnsi"/>
          <w:sz w:val="24"/>
          <w:szCs w:val="24"/>
        </w:rPr>
        <w:t>Examinar las más recientes tendencias jurisprudenciales con respecto a principios centrales de nuestra materia</w:t>
      </w:r>
      <w:r w:rsidR="003604C5">
        <w:rPr>
          <w:rFonts w:asciiTheme="majorHAnsi" w:hAnsiTheme="majorHAnsi" w:cstheme="majorHAnsi"/>
          <w:sz w:val="24"/>
          <w:szCs w:val="24"/>
        </w:rPr>
        <w:t>.</w:t>
      </w:r>
    </w:p>
    <w:p w:rsidR="00D85B1E" w:rsidRPr="005B7FA4" w:rsidRDefault="00D85B1E" w:rsidP="00E34D3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7FA4">
        <w:rPr>
          <w:rFonts w:asciiTheme="majorHAnsi" w:hAnsiTheme="majorHAnsi" w:cstheme="majorHAnsi"/>
          <w:sz w:val="24"/>
          <w:szCs w:val="24"/>
        </w:rPr>
        <w:t>Revisar la normativa que rige los principales institutos laborales y su compatibilidad con el programa constitucional y con los principios generales del Derecho del Trabajo</w:t>
      </w:r>
      <w:r w:rsidR="005B7FA4" w:rsidRPr="005B7FA4">
        <w:rPr>
          <w:rFonts w:asciiTheme="majorHAnsi" w:hAnsiTheme="majorHAnsi" w:cstheme="majorHAnsi"/>
          <w:sz w:val="24"/>
          <w:szCs w:val="24"/>
        </w:rPr>
        <w:t xml:space="preserve"> y deb</w:t>
      </w:r>
      <w:r w:rsidRPr="005B7FA4">
        <w:rPr>
          <w:rFonts w:asciiTheme="majorHAnsi" w:hAnsiTheme="majorHAnsi" w:cstheme="majorHAnsi"/>
          <w:sz w:val="24"/>
          <w:szCs w:val="24"/>
        </w:rPr>
        <w:t>atir sobre la experiencia europea y latinoamericana en cuestiones de importancia.</w:t>
      </w:r>
    </w:p>
    <w:p w:rsidR="00F2149E" w:rsidRPr="00D85B1E" w:rsidRDefault="00D85B1E" w:rsidP="00E34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D85B1E">
        <w:rPr>
          <w:rFonts w:asciiTheme="majorHAnsi" w:hAnsiTheme="majorHAnsi" w:cstheme="majorHAnsi"/>
          <w:sz w:val="24"/>
          <w:szCs w:val="24"/>
          <w:lang w:val="es-MX"/>
        </w:rPr>
        <w:t>Examinar los principios generales del derecho sindical; en particular, la libertad sindical y sus implicancias sobre el ejercicio de los derechos sindicales –individuales y colectivos-. Debatir respecto al modelo sindical argentino y su compatibilización con los postulados de la O.I.T.</w:t>
      </w:r>
    </w:p>
    <w:p w:rsidR="00D85B1E" w:rsidRPr="00D85B1E" w:rsidRDefault="00D85B1E" w:rsidP="00E34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D85B1E">
        <w:rPr>
          <w:rFonts w:asciiTheme="majorHAnsi" w:hAnsiTheme="majorHAnsi" w:cstheme="majorHAnsi"/>
          <w:sz w:val="24"/>
          <w:szCs w:val="24"/>
          <w:lang w:val="es-MX"/>
        </w:rPr>
        <w:t>Examinar los principios generales de la seguridad social. Cotejar los postulados constitucionales y el reconocimiento normativo de la cobertura de cada una de las contingencias. Debatir sobre los diferentes modelos de protección y el régimen argentino con relación a cada una de los institutos.</w:t>
      </w:r>
    </w:p>
    <w:p w:rsidR="00F2149E" w:rsidRDefault="001A5117" w:rsidP="00E34D3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Unidades</w:t>
      </w:r>
    </w:p>
    <w:p w:rsidR="00D85B1E" w:rsidRDefault="001A5117" w:rsidP="00E34D3A">
      <w:pPr>
        <w:tabs>
          <w:tab w:val="left" w:pos="15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Unidad 1. </w:t>
      </w:r>
    </w:p>
    <w:p w:rsidR="00F2149E" w:rsidRPr="000E4F4D" w:rsidRDefault="00D85B1E" w:rsidP="00E34D3A">
      <w:pPr>
        <w:tabs>
          <w:tab w:val="left" w:pos="159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5B1E">
        <w:rPr>
          <w:rFonts w:asciiTheme="majorHAnsi" w:hAnsiTheme="majorHAnsi" w:cstheme="majorHAnsi"/>
          <w:sz w:val="24"/>
          <w:szCs w:val="24"/>
        </w:rPr>
        <w:lastRenderedPageBreak/>
        <w:t xml:space="preserve">El trabajo humano y el Derecho del Trabajo. </w:t>
      </w:r>
      <w:r w:rsidR="000E4F4D" w:rsidRPr="000E4F4D">
        <w:rPr>
          <w:rFonts w:asciiTheme="majorHAnsi" w:hAnsiTheme="majorHAnsi" w:cstheme="majorHAnsi"/>
          <w:sz w:val="24"/>
          <w:szCs w:val="24"/>
        </w:rPr>
        <w:t>Nacimiento del Derecho del Trabajo. El derecho del trabajo frente a la crisis. Concepto, contenido y caracteres del Derecho del Trabajo. Fuentes del Derecho del Trabajo. Jerarquía y orden de prelación de las distintas fuentes. Constitucionalismo social. Constitución Nacional: desarrollo del art. 14 bis.  Reforma de 1994. Los tratados internacionales</w:t>
      </w:r>
      <w:r w:rsidR="00B14539">
        <w:rPr>
          <w:rFonts w:asciiTheme="majorHAnsi" w:hAnsiTheme="majorHAnsi" w:cstheme="majorHAnsi"/>
          <w:sz w:val="24"/>
          <w:szCs w:val="24"/>
        </w:rPr>
        <w:t>,</w:t>
      </w:r>
      <w:r w:rsidR="000E4F4D" w:rsidRPr="000E4F4D">
        <w:rPr>
          <w:rFonts w:asciiTheme="majorHAnsi" w:hAnsiTheme="majorHAnsi" w:cstheme="majorHAnsi"/>
          <w:sz w:val="24"/>
          <w:szCs w:val="24"/>
        </w:rPr>
        <w:t xml:space="preserve"> su aplicación inmediata</w:t>
      </w:r>
      <w:r w:rsidR="00B14539">
        <w:rPr>
          <w:rFonts w:asciiTheme="majorHAnsi" w:hAnsiTheme="majorHAnsi" w:cstheme="majorHAnsi"/>
          <w:sz w:val="24"/>
          <w:szCs w:val="24"/>
        </w:rPr>
        <w:t xml:space="preserve"> y los principios y derechos fundamentales</w:t>
      </w:r>
      <w:r w:rsidR="000E4F4D" w:rsidRPr="000E4F4D">
        <w:rPr>
          <w:rFonts w:asciiTheme="majorHAnsi" w:hAnsiTheme="majorHAnsi" w:cstheme="majorHAnsi"/>
          <w:sz w:val="24"/>
          <w:szCs w:val="24"/>
        </w:rPr>
        <w:t xml:space="preserve">. La labor de la O.I.T. </w:t>
      </w:r>
      <w:r w:rsidR="00B14539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B14539">
        <w:rPr>
          <w:rFonts w:asciiTheme="majorHAnsi" w:hAnsiTheme="majorHAnsi" w:cstheme="majorHAnsi"/>
          <w:sz w:val="24"/>
          <w:szCs w:val="24"/>
        </w:rPr>
        <w:t>y</w:t>
      </w:r>
      <w:proofErr w:type="gramEnd"/>
      <w:r w:rsidR="00B14539">
        <w:rPr>
          <w:rFonts w:asciiTheme="majorHAnsi" w:hAnsiTheme="majorHAnsi" w:cstheme="majorHAnsi"/>
          <w:sz w:val="24"/>
          <w:szCs w:val="24"/>
        </w:rPr>
        <w:t xml:space="preserve"> sus</w:t>
      </w:r>
      <w:r w:rsidR="000E4F4D" w:rsidRPr="000E4F4D">
        <w:rPr>
          <w:rFonts w:asciiTheme="majorHAnsi" w:hAnsiTheme="majorHAnsi" w:cstheme="majorHAnsi"/>
          <w:sz w:val="24"/>
          <w:szCs w:val="24"/>
        </w:rPr>
        <w:t xml:space="preserve"> principios y derechos fundamentales.</w:t>
      </w:r>
    </w:p>
    <w:p w:rsidR="00F2149E" w:rsidRDefault="001A5117" w:rsidP="00E34D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Unidad 2.</w:t>
      </w:r>
    </w:p>
    <w:p w:rsidR="00D85B1E" w:rsidRPr="000E4F4D" w:rsidRDefault="00D85B1E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5B1E">
        <w:rPr>
          <w:rFonts w:asciiTheme="majorHAnsi" w:hAnsiTheme="majorHAnsi" w:cstheme="majorHAnsi"/>
          <w:sz w:val="24"/>
          <w:szCs w:val="24"/>
        </w:rPr>
        <w:t>Los Principios Generales del Derecho del Trabajo</w:t>
      </w:r>
      <w:r>
        <w:rPr>
          <w:rFonts w:asciiTheme="majorHAnsi" w:hAnsiTheme="majorHAnsi" w:cstheme="majorHAnsi"/>
          <w:sz w:val="24"/>
          <w:szCs w:val="24"/>
        </w:rPr>
        <w:t>.</w:t>
      </w:r>
      <w:r w:rsidR="000E4F4D" w:rsidRPr="000E4F4D">
        <w:rPr>
          <w:rFonts w:ascii="Courier New" w:hAnsi="Courier New" w:cs="Courier New"/>
          <w:sz w:val="24"/>
          <w:szCs w:val="24"/>
        </w:rPr>
        <w:t xml:space="preserve"> </w:t>
      </w:r>
      <w:r w:rsidR="000E4F4D">
        <w:rPr>
          <w:rFonts w:ascii="Courier New" w:hAnsi="Courier New" w:cs="Courier New"/>
          <w:sz w:val="24"/>
          <w:szCs w:val="24"/>
        </w:rPr>
        <w:t>C</w:t>
      </w:r>
      <w:r w:rsidR="000E4F4D" w:rsidRPr="000E4F4D">
        <w:rPr>
          <w:rFonts w:asciiTheme="majorHAnsi" w:hAnsiTheme="majorHAnsi" w:cstheme="majorHAnsi"/>
          <w:sz w:val="24"/>
          <w:szCs w:val="24"/>
        </w:rPr>
        <w:t>oncepto y funciones. Principio protectorio y sus reglas de aplicación. La regla in dubio pro operario, norma más favorable</w:t>
      </w:r>
      <w:r w:rsidR="00B14539">
        <w:rPr>
          <w:rFonts w:asciiTheme="majorHAnsi" w:hAnsiTheme="majorHAnsi" w:cstheme="majorHAnsi"/>
          <w:sz w:val="24"/>
          <w:szCs w:val="24"/>
        </w:rPr>
        <w:t>,</w:t>
      </w:r>
      <w:r w:rsidR="000E4F4D" w:rsidRPr="000E4F4D">
        <w:rPr>
          <w:rFonts w:asciiTheme="majorHAnsi" w:hAnsiTheme="majorHAnsi" w:cstheme="majorHAnsi"/>
          <w:sz w:val="24"/>
          <w:szCs w:val="24"/>
        </w:rPr>
        <w:t xml:space="preserve"> condición más beneficiosa</w:t>
      </w:r>
      <w:r w:rsidR="00B14539" w:rsidRPr="00B1453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B14539" w:rsidRPr="000E4F4D">
        <w:rPr>
          <w:rFonts w:asciiTheme="majorHAnsi" w:hAnsiTheme="majorHAnsi" w:cstheme="majorHAnsi"/>
          <w:sz w:val="24"/>
          <w:szCs w:val="24"/>
          <w:shd w:val="clear" w:color="auto" w:fill="FFFFFF"/>
        </w:rPr>
        <w:t>y la duda en la valoración de la prueba</w:t>
      </w:r>
      <w:r w:rsidR="000E4F4D" w:rsidRPr="000E4F4D">
        <w:rPr>
          <w:rFonts w:asciiTheme="majorHAnsi" w:hAnsiTheme="majorHAnsi" w:cstheme="majorHAnsi"/>
          <w:sz w:val="24"/>
          <w:szCs w:val="24"/>
        </w:rPr>
        <w:t xml:space="preserve">. La </w:t>
      </w:r>
      <w:proofErr w:type="spellStart"/>
      <w:r w:rsidR="000E4F4D" w:rsidRPr="000E4F4D">
        <w:rPr>
          <w:rFonts w:asciiTheme="majorHAnsi" w:hAnsiTheme="majorHAnsi" w:cstheme="majorHAnsi"/>
          <w:sz w:val="24"/>
          <w:szCs w:val="24"/>
        </w:rPr>
        <w:t>irrenunciabilidad</w:t>
      </w:r>
      <w:proofErr w:type="spellEnd"/>
      <w:r w:rsidR="000E4F4D" w:rsidRPr="000E4F4D">
        <w:rPr>
          <w:rFonts w:asciiTheme="majorHAnsi" w:hAnsiTheme="majorHAnsi" w:cstheme="majorHAnsi"/>
          <w:sz w:val="24"/>
          <w:szCs w:val="24"/>
        </w:rPr>
        <w:t>. Distintas teorías. El consentimiento y el silencio del trabajador</w:t>
      </w:r>
      <w:proofErr w:type="gramStart"/>
      <w:r w:rsidR="000E4F4D" w:rsidRPr="000E4F4D">
        <w:rPr>
          <w:rFonts w:asciiTheme="majorHAnsi" w:hAnsiTheme="majorHAnsi" w:cstheme="majorHAnsi"/>
          <w:sz w:val="24"/>
          <w:szCs w:val="24"/>
        </w:rPr>
        <w:t>.</w:t>
      </w:r>
      <w:r w:rsidR="000E4F4D" w:rsidRPr="000E4F4D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  <w:proofErr w:type="gramEnd"/>
      <w:r w:rsidR="000E4F4D" w:rsidRPr="000E4F4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0E4F4D" w:rsidRPr="000E4F4D">
        <w:rPr>
          <w:rFonts w:asciiTheme="majorHAnsi" w:hAnsiTheme="majorHAnsi" w:cstheme="majorHAnsi"/>
          <w:sz w:val="24"/>
          <w:szCs w:val="24"/>
        </w:rPr>
        <w:t>El principio de indemnidad y el riesgo de la empresa. El principio de continuidad del contrato.</w:t>
      </w:r>
    </w:p>
    <w:p w:rsidR="00F2149E" w:rsidRDefault="001A5117" w:rsidP="00E34D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Unidad 3.</w:t>
      </w:r>
    </w:p>
    <w:p w:rsidR="00B44AB6" w:rsidRPr="000E4F4D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4AB6">
        <w:rPr>
          <w:rFonts w:asciiTheme="majorHAnsi" w:hAnsiTheme="majorHAnsi" w:cstheme="majorHAnsi"/>
          <w:sz w:val="24"/>
          <w:szCs w:val="24"/>
        </w:rPr>
        <w:t>La no discriminación y la igualdad de trato en el ámbito laboral.</w:t>
      </w:r>
      <w:r w:rsidR="000E4F4D">
        <w:rPr>
          <w:rFonts w:asciiTheme="majorHAnsi" w:hAnsiTheme="majorHAnsi" w:cstheme="majorHAnsi"/>
          <w:sz w:val="24"/>
          <w:szCs w:val="24"/>
        </w:rPr>
        <w:t xml:space="preserve"> </w:t>
      </w:r>
      <w:r w:rsidR="00027289">
        <w:rPr>
          <w:rFonts w:asciiTheme="majorHAnsi" w:hAnsiTheme="majorHAnsi" w:cstheme="majorHAnsi"/>
          <w:sz w:val="24"/>
          <w:szCs w:val="24"/>
        </w:rPr>
        <w:t>Gr</w:t>
      </w:r>
      <w:r w:rsidR="000E4F4D" w:rsidRPr="000E4F4D">
        <w:rPr>
          <w:rFonts w:asciiTheme="majorHAnsi" w:hAnsiTheme="majorHAnsi" w:cstheme="majorHAnsi"/>
          <w:sz w:val="24"/>
          <w:szCs w:val="24"/>
        </w:rPr>
        <w:t>upos vulnerables. Prejuicios y estereotipos. Daños que ocasiona</w:t>
      </w:r>
      <w:r w:rsidR="00960E0C">
        <w:rPr>
          <w:rFonts w:asciiTheme="majorHAnsi" w:hAnsiTheme="majorHAnsi" w:cstheme="majorHAnsi"/>
          <w:sz w:val="24"/>
          <w:szCs w:val="24"/>
        </w:rPr>
        <w:t xml:space="preserve"> y su reparación</w:t>
      </w:r>
      <w:r w:rsidR="000E4F4D" w:rsidRPr="000E4F4D">
        <w:rPr>
          <w:rFonts w:asciiTheme="majorHAnsi" w:hAnsiTheme="majorHAnsi" w:cstheme="majorHAnsi"/>
          <w:sz w:val="24"/>
          <w:szCs w:val="24"/>
        </w:rPr>
        <w:t>. El derecho internacional de los derechos humanos y el derecho constitucional argentino frente a la discriminación. Las acciones afirmativas y su recepción constitucional. Vías procesales frente a conductas discriminatorias.</w:t>
      </w:r>
      <w:r w:rsidR="000E4F4D" w:rsidRPr="000E4F4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E4F4D" w:rsidRPr="000E4F4D">
        <w:rPr>
          <w:rFonts w:asciiTheme="majorHAnsi" w:hAnsiTheme="majorHAnsi" w:cstheme="majorHAnsi"/>
          <w:sz w:val="24"/>
          <w:szCs w:val="24"/>
        </w:rPr>
        <w:t>La carga de la prueba.</w:t>
      </w:r>
      <w:r w:rsidR="000E4F4D">
        <w:rPr>
          <w:rFonts w:asciiTheme="majorHAnsi" w:hAnsiTheme="majorHAnsi" w:cstheme="majorHAnsi"/>
          <w:sz w:val="24"/>
          <w:szCs w:val="24"/>
        </w:rPr>
        <w:t xml:space="preserve"> Los alcances de la reparación.</w:t>
      </w:r>
    </w:p>
    <w:p w:rsidR="00F2149E" w:rsidRDefault="001A5117" w:rsidP="00E34D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Unidad 4. </w:t>
      </w:r>
    </w:p>
    <w:p w:rsidR="00E87197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7197">
        <w:rPr>
          <w:rFonts w:asciiTheme="majorHAnsi" w:hAnsiTheme="majorHAnsi" w:cstheme="majorHAnsi"/>
          <w:sz w:val="24"/>
          <w:szCs w:val="24"/>
        </w:rPr>
        <w:t xml:space="preserve">El Orden Público Laboral. </w:t>
      </w:r>
      <w:r w:rsidR="00E87197" w:rsidRPr="00E87197">
        <w:rPr>
          <w:rFonts w:asciiTheme="majorHAnsi" w:hAnsiTheme="majorHAnsi" w:cstheme="majorHAnsi"/>
          <w:sz w:val="24"/>
          <w:szCs w:val="24"/>
        </w:rPr>
        <w:t xml:space="preserve">Simulación y fraude laboral. </w:t>
      </w:r>
      <w:r w:rsidRPr="00E87197">
        <w:rPr>
          <w:rFonts w:asciiTheme="majorHAnsi" w:hAnsiTheme="majorHAnsi" w:cstheme="majorHAnsi"/>
          <w:sz w:val="24"/>
          <w:szCs w:val="24"/>
        </w:rPr>
        <w:t>El contrato de trabajo y la relación de trabajo. Los sujetos. La responsabilidad solidaria. El principio de indeterminación del plazo y las modalidades contractuales</w:t>
      </w:r>
      <w:r w:rsidR="00E87197" w:rsidRPr="00E87197">
        <w:rPr>
          <w:rFonts w:asciiTheme="majorHAnsi" w:hAnsiTheme="majorHAnsi" w:cstheme="majorHAnsi"/>
          <w:sz w:val="24"/>
          <w:szCs w:val="24"/>
        </w:rPr>
        <w:t xml:space="preserve">. Precarización del contrato de trabajo. Período de prueba. Pasantías. Contrato de aprendizaje. Nuevas realidades: teletrabajo, trabajo a través de plataformas. Las nuevas tecnologías y su impacto en el mundo del trabajo. </w:t>
      </w:r>
      <w:r w:rsidR="00E8719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87197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Unidad 5.</w:t>
      </w:r>
    </w:p>
    <w:p w:rsidR="00B44AB6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7197">
        <w:rPr>
          <w:rFonts w:asciiTheme="majorHAnsi" w:hAnsiTheme="majorHAnsi" w:cstheme="majorHAnsi"/>
          <w:sz w:val="24"/>
          <w:szCs w:val="24"/>
        </w:rPr>
        <w:t xml:space="preserve">Teoría de las obligaciones laborales. El deber de seguridad y la tutela frente a los riesgos del trabajo. </w:t>
      </w:r>
      <w:r w:rsidR="00E87197" w:rsidRPr="00E87197">
        <w:rPr>
          <w:rFonts w:asciiTheme="majorHAnsi" w:hAnsiTheme="majorHAnsi" w:cstheme="majorHAnsi"/>
          <w:sz w:val="24"/>
          <w:szCs w:val="24"/>
        </w:rPr>
        <w:t xml:space="preserve">El resarcimiento. Vías de reclamación. La reparación integral y los derechos del trabajador como ciudadano </w:t>
      </w:r>
      <w:r w:rsidRPr="00E87197">
        <w:rPr>
          <w:rFonts w:asciiTheme="majorHAnsi" w:hAnsiTheme="majorHAnsi" w:cstheme="majorHAnsi"/>
          <w:sz w:val="24"/>
          <w:szCs w:val="24"/>
        </w:rPr>
        <w:t>Suspensión de ciertos efectos del contrato de trabajo. La jornada de trabajo y el descanso.</w:t>
      </w:r>
    </w:p>
    <w:p w:rsidR="00B44AB6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Unidad 6. </w:t>
      </w:r>
    </w:p>
    <w:p w:rsidR="00B14745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4745">
        <w:rPr>
          <w:rFonts w:asciiTheme="majorHAnsi" w:hAnsiTheme="majorHAnsi" w:cstheme="majorHAnsi"/>
          <w:sz w:val="24"/>
          <w:szCs w:val="24"/>
        </w:rPr>
        <w:t>El salario y su protección.</w:t>
      </w:r>
      <w:r w:rsidR="00B14745" w:rsidRPr="00B14745">
        <w:rPr>
          <w:rFonts w:asciiTheme="majorHAnsi" w:hAnsiTheme="majorHAnsi" w:cstheme="majorHAnsi"/>
          <w:sz w:val="24"/>
          <w:szCs w:val="24"/>
        </w:rPr>
        <w:t xml:space="preserve"> Concepto de la remuneración. El salario y los beneficios al personal. El salario justo. Salario mínimo, vital y móvil. </w:t>
      </w:r>
      <w:proofErr w:type="spellStart"/>
      <w:r w:rsidR="00B14745" w:rsidRPr="00B14745">
        <w:rPr>
          <w:rFonts w:asciiTheme="majorHAnsi" w:hAnsiTheme="majorHAnsi" w:cstheme="majorHAnsi"/>
          <w:sz w:val="24"/>
          <w:szCs w:val="24"/>
        </w:rPr>
        <w:t>Inembargabilidad</w:t>
      </w:r>
      <w:proofErr w:type="spellEnd"/>
      <w:r w:rsidR="00B14745" w:rsidRPr="00B14745">
        <w:rPr>
          <w:rFonts w:asciiTheme="majorHAnsi" w:hAnsiTheme="majorHAnsi" w:cstheme="majorHAnsi"/>
          <w:sz w:val="24"/>
          <w:szCs w:val="24"/>
        </w:rPr>
        <w:t>. Sueldo Anual Complementario. Facultad de los jueces. Formas de determinar la remuneración. Viáticos. Comisiones. Prueba, medios, lugar y tiempo del pago. Prescripción.</w:t>
      </w:r>
      <w:r w:rsidR="00960E0C">
        <w:rPr>
          <w:rFonts w:asciiTheme="majorHAnsi" w:hAnsiTheme="majorHAnsi" w:cstheme="majorHAnsi"/>
          <w:sz w:val="24"/>
          <w:szCs w:val="24"/>
        </w:rPr>
        <w:t xml:space="preserve"> Privilegios.</w:t>
      </w:r>
      <w:r w:rsidR="00B1474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44AB6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Unidad 7. </w:t>
      </w:r>
    </w:p>
    <w:p w:rsidR="00B44AB6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4AB6">
        <w:rPr>
          <w:rFonts w:asciiTheme="majorHAnsi" w:hAnsiTheme="majorHAnsi" w:cstheme="majorHAnsi"/>
          <w:sz w:val="24"/>
          <w:szCs w:val="24"/>
        </w:rPr>
        <w:t xml:space="preserve">La violencia y el acoso </w:t>
      </w:r>
      <w:r w:rsidRPr="002C61D3">
        <w:rPr>
          <w:rFonts w:asciiTheme="majorHAnsi" w:hAnsiTheme="majorHAnsi" w:cstheme="majorHAnsi"/>
          <w:sz w:val="24"/>
          <w:szCs w:val="24"/>
        </w:rPr>
        <w:t>en el mundo del trabajo. Cuestiones de género en el mundo del trabajo. El convenio 190 OIT</w:t>
      </w:r>
      <w:r w:rsidR="002C61D3" w:rsidRPr="002C61D3">
        <w:rPr>
          <w:rFonts w:asciiTheme="majorHAnsi" w:hAnsiTheme="majorHAnsi" w:cstheme="majorHAnsi"/>
          <w:sz w:val="24"/>
          <w:szCs w:val="24"/>
        </w:rPr>
        <w:t xml:space="preserve">. La prevención, sanción y erradicación de la violencia en el mundo del trabajo. Obligaciones estatales Acceso a la justicia. Estereotipos y roles de género y su impacto en el mundo del trabajo. Marco jurídico de protección. Brechas de género. </w:t>
      </w:r>
      <w:r w:rsidR="00960E0C">
        <w:rPr>
          <w:rFonts w:asciiTheme="majorHAnsi" w:hAnsiTheme="majorHAnsi" w:cstheme="majorHAnsi"/>
          <w:sz w:val="24"/>
          <w:szCs w:val="24"/>
        </w:rPr>
        <w:t>R</w:t>
      </w:r>
      <w:r w:rsidR="002C61D3" w:rsidRPr="002C61D3">
        <w:rPr>
          <w:rFonts w:asciiTheme="majorHAnsi" w:hAnsiTheme="majorHAnsi" w:cstheme="majorHAnsi"/>
          <w:sz w:val="24"/>
          <w:szCs w:val="24"/>
        </w:rPr>
        <w:t>esponsabilidades familiares y su impacto en el contrato de trabajo. Jurisprudencia. Acceso a la justicia. Reparación del daño. Medidas de pr</w:t>
      </w:r>
      <w:r w:rsidR="00960E0C">
        <w:rPr>
          <w:rFonts w:asciiTheme="majorHAnsi" w:hAnsiTheme="majorHAnsi" w:cstheme="majorHAnsi"/>
          <w:sz w:val="24"/>
          <w:szCs w:val="24"/>
        </w:rPr>
        <w:t>otección.</w:t>
      </w:r>
    </w:p>
    <w:p w:rsidR="00B44AB6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Unidad 8. </w:t>
      </w:r>
    </w:p>
    <w:p w:rsidR="002C61D3" w:rsidRPr="002C61D3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4AB6">
        <w:rPr>
          <w:rFonts w:asciiTheme="majorHAnsi" w:hAnsiTheme="majorHAnsi" w:cstheme="majorHAnsi"/>
          <w:sz w:val="24"/>
          <w:szCs w:val="24"/>
        </w:rPr>
        <w:t>La estabilidad en el puesto de trabajo</w:t>
      </w:r>
      <w:r w:rsidRPr="002C61D3">
        <w:rPr>
          <w:rFonts w:asciiTheme="majorHAnsi" w:hAnsiTheme="majorHAnsi" w:cstheme="majorHAnsi"/>
          <w:sz w:val="24"/>
          <w:szCs w:val="24"/>
        </w:rPr>
        <w:t>.</w:t>
      </w:r>
      <w:r w:rsidR="002C61D3" w:rsidRPr="002C61D3">
        <w:rPr>
          <w:rFonts w:asciiTheme="majorHAnsi" w:hAnsiTheme="majorHAnsi" w:cstheme="majorHAnsi"/>
          <w:sz w:val="24"/>
          <w:szCs w:val="24"/>
        </w:rPr>
        <w:t xml:space="preserve"> Disposiciones constitucionales e internacionales</w:t>
      </w:r>
      <w:r w:rsidR="00960E0C">
        <w:rPr>
          <w:rFonts w:asciiTheme="majorHAnsi" w:hAnsiTheme="majorHAnsi" w:cstheme="majorHAnsi"/>
          <w:sz w:val="24"/>
          <w:szCs w:val="24"/>
        </w:rPr>
        <w:t>.</w:t>
      </w:r>
      <w:r w:rsidR="002C61D3" w:rsidRPr="002C61D3">
        <w:rPr>
          <w:rFonts w:asciiTheme="majorHAnsi" w:hAnsiTheme="majorHAnsi" w:cstheme="majorHAnsi"/>
          <w:sz w:val="24"/>
          <w:szCs w:val="24"/>
        </w:rPr>
        <w:t xml:space="preserve"> Sujetos con estabilidad especialmente protegida. La </w:t>
      </w:r>
      <w:r w:rsidR="00960E0C">
        <w:rPr>
          <w:rFonts w:asciiTheme="majorHAnsi" w:hAnsiTheme="majorHAnsi" w:cstheme="majorHAnsi"/>
          <w:sz w:val="24"/>
          <w:szCs w:val="24"/>
        </w:rPr>
        <w:t xml:space="preserve">jurisprudencia </w:t>
      </w:r>
      <w:r w:rsidR="002C61D3" w:rsidRPr="002C61D3">
        <w:rPr>
          <w:rFonts w:asciiTheme="majorHAnsi" w:hAnsiTheme="majorHAnsi" w:cstheme="majorHAnsi"/>
          <w:sz w:val="24"/>
          <w:szCs w:val="24"/>
        </w:rPr>
        <w:t xml:space="preserve">de la CSJN.  Los convenios de la OIT. Nro. 87, 98, 135 y 158. Sus efectos en el ordenamiento interno. Los despidos discriminatorios. Distintas formas de extinción del contrato de trabajo. La liquidación final. </w:t>
      </w:r>
      <w:r w:rsidR="00960E0C">
        <w:rPr>
          <w:rFonts w:asciiTheme="majorHAnsi" w:hAnsiTheme="majorHAnsi" w:cstheme="majorHAnsi"/>
          <w:sz w:val="24"/>
          <w:szCs w:val="24"/>
        </w:rPr>
        <w:t>Rubros salariales e indemnizatorios. Penalidades</w:t>
      </w:r>
      <w:r w:rsidR="002C61D3" w:rsidRPr="002C61D3">
        <w:rPr>
          <w:rFonts w:asciiTheme="majorHAnsi" w:hAnsiTheme="majorHAnsi" w:cstheme="majorHAnsi"/>
          <w:sz w:val="24"/>
          <w:szCs w:val="24"/>
        </w:rPr>
        <w:t xml:space="preserve">.  </w:t>
      </w:r>
    </w:p>
    <w:p w:rsidR="00B44AB6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Unidad 9. </w:t>
      </w:r>
    </w:p>
    <w:p w:rsidR="00934D40" w:rsidRPr="00934D40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4AB6">
        <w:rPr>
          <w:rFonts w:asciiTheme="majorHAnsi" w:hAnsiTheme="majorHAnsi" w:cstheme="majorHAnsi"/>
          <w:sz w:val="24"/>
          <w:szCs w:val="24"/>
        </w:rPr>
        <w:t>La libertad y la democracia sindical.</w:t>
      </w:r>
      <w:r w:rsidR="00934D40" w:rsidRPr="00934D40">
        <w:rPr>
          <w:rFonts w:ascii="Courier New" w:hAnsi="Courier New" w:cs="Courier New"/>
          <w:sz w:val="24"/>
          <w:szCs w:val="24"/>
        </w:rPr>
        <w:t xml:space="preserve"> </w:t>
      </w:r>
      <w:r w:rsidR="00934D40" w:rsidRPr="00934D40">
        <w:rPr>
          <w:rFonts w:asciiTheme="majorHAnsi" w:hAnsiTheme="majorHAnsi" w:cstheme="majorHAnsi"/>
          <w:sz w:val="24"/>
          <w:szCs w:val="24"/>
        </w:rPr>
        <w:t>Los convenios 87 y 98 de la OIT. La organización interna de los sindicatos. La representación sindical en la empresa. La estabilidad sindical. Debate doctrinario. Los postulados de la OIT. La jurisprudencia de la CSJN</w:t>
      </w:r>
      <w:r w:rsidR="00934D40">
        <w:rPr>
          <w:rFonts w:asciiTheme="majorHAnsi" w:hAnsiTheme="majorHAnsi" w:cstheme="majorHAnsi"/>
          <w:sz w:val="24"/>
          <w:szCs w:val="24"/>
        </w:rPr>
        <w:t xml:space="preserve">. </w:t>
      </w:r>
      <w:r w:rsidR="00934D40" w:rsidRPr="00934D40">
        <w:rPr>
          <w:rFonts w:asciiTheme="majorHAnsi" w:hAnsiTheme="majorHAnsi" w:cstheme="majorHAnsi"/>
          <w:sz w:val="24"/>
          <w:szCs w:val="24"/>
        </w:rPr>
        <w:t xml:space="preserve">La acción sindical. Negociación colectiva. </w:t>
      </w:r>
      <w:proofErr w:type="spellStart"/>
      <w:r w:rsidR="00934D40" w:rsidRPr="00934D40">
        <w:rPr>
          <w:rFonts w:asciiTheme="majorHAnsi" w:hAnsiTheme="majorHAnsi" w:cstheme="majorHAnsi"/>
          <w:sz w:val="24"/>
          <w:szCs w:val="24"/>
        </w:rPr>
        <w:t>Ultraactividad</w:t>
      </w:r>
      <w:proofErr w:type="spellEnd"/>
      <w:r w:rsidR="00934D40" w:rsidRPr="00934D40">
        <w:rPr>
          <w:rFonts w:asciiTheme="majorHAnsi" w:hAnsiTheme="majorHAnsi" w:cstheme="majorHAnsi"/>
          <w:sz w:val="24"/>
          <w:szCs w:val="24"/>
        </w:rPr>
        <w:t xml:space="preserve"> de las cláusulas del convenio colectivo de trabajo. Efectos sobre los contratos individuales. Concurrencia, sucesión y articulación. El conflicto colectivo de trabajo y los mecanismos de solución. La ley 14.786. </w:t>
      </w:r>
      <w:smartTag w:uri="urn:schemas-microsoft-com:office:smarttags" w:element="PersonName">
        <w:smartTagPr>
          <w:attr w:name="ProductID" w:val="La Huelga. Otras"/>
        </w:smartTagPr>
        <w:r w:rsidR="00934D40" w:rsidRPr="00934D40">
          <w:rPr>
            <w:rFonts w:asciiTheme="majorHAnsi" w:hAnsiTheme="majorHAnsi" w:cstheme="majorHAnsi"/>
            <w:sz w:val="24"/>
            <w:szCs w:val="24"/>
          </w:rPr>
          <w:t>La Huelga. Otras</w:t>
        </w:r>
      </w:smartTag>
      <w:r w:rsidR="00934D40" w:rsidRPr="00934D40">
        <w:rPr>
          <w:rFonts w:asciiTheme="majorHAnsi" w:hAnsiTheme="majorHAnsi" w:cstheme="majorHAnsi"/>
          <w:sz w:val="24"/>
          <w:szCs w:val="24"/>
        </w:rPr>
        <w:t xml:space="preserve"> formas de exteriorización del conflicto laboral. La Huelga en los servicios esenciales.</w:t>
      </w:r>
      <w:r w:rsidR="00934D40">
        <w:rPr>
          <w:rFonts w:asciiTheme="majorHAnsi" w:hAnsiTheme="majorHAnsi" w:cstheme="majorHAnsi"/>
          <w:sz w:val="24"/>
          <w:szCs w:val="24"/>
        </w:rPr>
        <w:t xml:space="preserve"> </w:t>
      </w:r>
      <w:r w:rsidR="00934D40" w:rsidRPr="00934D40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B44AB6" w:rsidRDefault="00B44AB6" w:rsidP="00E34D3A">
      <w:pPr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Unidad 10. </w:t>
      </w:r>
    </w:p>
    <w:p w:rsidR="00B44AB6" w:rsidRPr="00B44AB6" w:rsidRDefault="00B44AB6" w:rsidP="00E34D3A">
      <w:pPr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44AB6">
        <w:rPr>
          <w:rFonts w:asciiTheme="majorHAnsi" w:hAnsiTheme="majorHAnsi" w:cstheme="majorHAnsi"/>
          <w:sz w:val="24"/>
          <w:szCs w:val="24"/>
        </w:rPr>
        <w:t>La seguridad social y sus principios generales. Concepto y contenido. Contingencias tuteladas. Su financiamiento. Sub Sistemas de la Seguridad Social.  Previsión Social: Contingencias y Régimen Prestacional vigente. Subsistema de Salud. Régimen Legal de Obas sociales y Prepagas. Riesgos del Trabajo. La Prevención, Sistema de Cobertura, Aseguramiento: Mutuas y ART. Asignaciones Familiares. Prestaciones contributivas y No contributivas Desempleo. Prestaciones de Pago Periódico y Único. Variables. I</w:t>
      </w:r>
      <w:r w:rsidRPr="00B44AB6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ngreso de ciudadanía. Planes sociales. El futuro del trabajo y la seguridad social. El concepto de progresividad eficiente</w:t>
      </w:r>
    </w:p>
    <w:p w:rsidR="003604C5" w:rsidRDefault="001A5117" w:rsidP="003604C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Bibliografía</w:t>
      </w:r>
      <w:r w:rsidR="003604C5">
        <w:rPr>
          <w:b/>
          <w:sz w:val="28"/>
          <w:szCs w:val="28"/>
        </w:rPr>
        <w:t xml:space="preserve"> </w:t>
      </w:r>
    </w:p>
    <w:p w:rsidR="003604C5" w:rsidRDefault="002C61D3" w:rsidP="003604C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D72A22">
        <w:rPr>
          <w:rFonts w:asciiTheme="majorHAnsi" w:hAnsiTheme="majorHAnsi" w:cstheme="majorHAnsi"/>
          <w:sz w:val="24"/>
          <w:szCs w:val="24"/>
        </w:rPr>
        <w:t xml:space="preserve">FERNÁNDEZ MADRID, Juan Carlos, Tratado práctico de derecho del trabajo, Ed. </w:t>
      </w:r>
      <w:smartTag w:uri="urn:schemas-microsoft-com:office:smarttags" w:element="PersonName">
        <w:smartTagPr>
          <w:attr w:name="ProductID" w:val="La Ley"/>
        </w:smartTagPr>
        <w:r w:rsidRPr="00D72A22">
          <w:rPr>
            <w:rFonts w:asciiTheme="majorHAnsi" w:hAnsiTheme="majorHAnsi" w:cstheme="majorHAnsi"/>
            <w:sz w:val="24"/>
            <w:szCs w:val="24"/>
          </w:rPr>
          <w:t>La Ley</w:t>
        </w:r>
      </w:smartTag>
      <w:r w:rsidRPr="00D72A22">
        <w:rPr>
          <w:rFonts w:asciiTheme="majorHAnsi" w:hAnsiTheme="majorHAnsi" w:cstheme="majorHAnsi"/>
          <w:sz w:val="24"/>
          <w:szCs w:val="24"/>
        </w:rPr>
        <w:t>, Tomos I, II y III, Bs. As., 2007.</w:t>
      </w:r>
      <w:r w:rsidR="003604C5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:rsidR="002C61D3" w:rsidRDefault="003604C5" w:rsidP="00E34D3A">
      <w:pPr>
        <w:pStyle w:val="Textoindependiente"/>
        <w:spacing w:after="160" w:line="276" w:lineRule="auto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 xml:space="preserve">FERNANDEZ MADRID, Juan Carlos, </w:t>
      </w:r>
      <w:r w:rsidR="002C61D3" w:rsidRPr="00D72A22">
        <w:rPr>
          <w:rFonts w:asciiTheme="majorHAnsi" w:hAnsiTheme="majorHAnsi" w:cstheme="majorHAnsi"/>
          <w:sz w:val="24"/>
          <w:szCs w:val="24"/>
        </w:rPr>
        <w:t xml:space="preserve">Ley de contrato de trabajo, comentada y anotada,  Tomos I, II y III, Ed. </w:t>
      </w:r>
      <w:smartTag w:uri="urn:schemas-microsoft-com:office:smarttags" w:element="PersonName">
        <w:smartTagPr>
          <w:attr w:name="ProductID" w:val="La Ley"/>
        </w:smartTagPr>
        <w:r w:rsidR="002C61D3" w:rsidRPr="00D72A22">
          <w:rPr>
            <w:rFonts w:asciiTheme="majorHAnsi" w:hAnsiTheme="majorHAnsi" w:cstheme="majorHAnsi"/>
            <w:sz w:val="24"/>
            <w:szCs w:val="24"/>
          </w:rPr>
          <w:t>La Ley</w:t>
        </w:r>
      </w:smartTag>
      <w:r w:rsidR="002C61D3" w:rsidRPr="00D72A22">
        <w:rPr>
          <w:rFonts w:asciiTheme="majorHAnsi" w:hAnsiTheme="majorHAnsi" w:cstheme="majorHAnsi"/>
          <w:sz w:val="24"/>
          <w:szCs w:val="24"/>
        </w:rPr>
        <w:t>, Bs. As., 2012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. </w:t>
      </w:r>
    </w:p>
    <w:p w:rsidR="003604C5" w:rsidRPr="003604C5" w:rsidRDefault="003604C5" w:rsidP="00E34D3A">
      <w:pPr>
        <w:pStyle w:val="Textoindependiente"/>
        <w:spacing w:after="160" w:line="276" w:lineRule="auto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lastRenderedPageBreak/>
        <w:t xml:space="preserve">RECALDE, Mariano, Manual de Derecho Colectivo del Trabajo, Ed. EDUNPAZ, 1ra. </w:t>
      </w:r>
      <w:proofErr w:type="gramStart"/>
      <w:r>
        <w:rPr>
          <w:rFonts w:asciiTheme="majorHAnsi" w:hAnsiTheme="majorHAnsi" w:cstheme="majorHAnsi"/>
          <w:sz w:val="24"/>
          <w:szCs w:val="24"/>
          <w:lang w:val="es-ES"/>
        </w:rPr>
        <w:t>ed</w:t>
      </w:r>
      <w:proofErr w:type="gramEnd"/>
      <w:r>
        <w:rPr>
          <w:rFonts w:asciiTheme="majorHAnsi" w:hAnsiTheme="majorHAnsi" w:cstheme="majorHAnsi"/>
          <w:sz w:val="24"/>
          <w:szCs w:val="24"/>
          <w:lang w:val="es-ES"/>
        </w:rPr>
        <w:t>. Bs. As., 2018.</w:t>
      </w:r>
    </w:p>
    <w:p w:rsidR="003604C5" w:rsidRPr="003604C5" w:rsidRDefault="003604C5" w:rsidP="00E34D3A">
      <w:pPr>
        <w:pStyle w:val="Textoindependiente"/>
        <w:spacing w:after="160" w:line="276" w:lineRule="auto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 xml:space="preserve">Publicaciones de doctrina de autoría de los docentes y de autores destacados en la materia que serán digitalizadas y subidas al campus virtual. </w:t>
      </w:r>
    </w:p>
    <w:p w:rsidR="003604C5" w:rsidRDefault="001A5117" w:rsidP="003604C5">
      <w:pPr>
        <w:pStyle w:val="NormalWeb"/>
        <w:spacing w:after="16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Metodología de cursada y evaluación</w:t>
      </w:r>
      <w:r w:rsidR="003604C5">
        <w:rPr>
          <w:b/>
          <w:sz w:val="28"/>
          <w:szCs w:val="28"/>
        </w:rPr>
        <w:t xml:space="preserve"> </w:t>
      </w:r>
    </w:p>
    <w:p w:rsidR="00B44AB6" w:rsidRPr="00934D40" w:rsidRDefault="00B44AB6" w:rsidP="003604C5">
      <w:pPr>
        <w:pStyle w:val="NormalWeb"/>
        <w:spacing w:after="160" w:afterAutospacing="0" w:line="276" w:lineRule="auto"/>
        <w:jc w:val="both"/>
        <w:rPr>
          <w:rFonts w:asciiTheme="majorHAnsi" w:hAnsiTheme="majorHAnsi" w:cstheme="majorHAnsi"/>
        </w:rPr>
      </w:pPr>
      <w:r w:rsidRPr="00934D40">
        <w:rPr>
          <w:rFonts w:asciiTheme="majorHAnsi" w:hAnsiTheme="majorHAnsi" w:cstheme="majorHAnsi"/>
        </w:rPr>
        <w:t>Analizar</w:t>
      </w:r>
      <w:r w:rsidRPr="00934D40">
        <w:rPr>
          <w:rFonts w:asciiTheme="majorHAnsi" w:hAnsiTheme="majorHAnsi" w:cstheme="majorHAnsi"/>
          <w:b/>
        </w:rPr>
        <w:t xml:space="preserve"> </w:t>
      </w:r>
      <w:r w:rsidRPr="00934D40">
        <w:rPr>
          <w:rFonts w:asciiTheme="majorHAnsi" w:hAnsiTheme="majorHAnsi" w:cstheme="majorHAnsi"/>
        </w:rPr>
        <w:t>los</w:t>
      </w:r>
      <w:r w:rsidRPr="00934D40">
        <w:rPr>
          <w:rFonts w:asciiTheme="majorHAnsi" w:hAnsiTheme="majorHAnsi" w:cstheme="majorHAnsi"/>
          <w:b/>
        </w:rPr>
        <w:t xml:space="preserve"> </w:t>
      </w:r>
      <w:r w:rsidRPr="00934D40">
        <w:rPr>
          <w:rFonts w:asciiTheme="majorHAnsi" w:hAnsiTheme="majorHAnsi" w:cstheme="majorHAnsi"/>
        </w:rPr>
        <w:t xml:space="preserve">temas centrales del Derecho del Trabajo y la Seguridad Social, desde la perspectiva doctrinaria y jurisprudencial y según los más recientes avances experimentados en la materia. </w:t>
      </w:r>
    </w:p>
    <w:p w:rsidR="00B44AB6" w:rsidRPr="00934D40" w:rsidRDefault="00B44AB6" w:rsidP="00E34D3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4D40">
        <w:rPr>
          <w:rFonts w:asciiTheme="majorHAnsi" w:hAnsiTheme="majorHAnsi" w:cstheme="majorHAnsi"/>
          <w:sz w:val="24"/>
          <w:szCs w:val="24"/>
        </w:rPr>
        <w:t>Los contenidos se desarrollarán en forma teórica práctica, con especial dedicación al análisis y reflexión sobre las más actuales tendencias doctrinarias y jurisprudenciales y a la luz de la normativa internacional y nacional vigente y teniendo en cuenta su impacto en las relaciones laborales y sus puntos de conexión con otras disciplinas como la sociología del trabajo, la historia del movimiento obrero, economía del trabajo, psicología del trabajo e higiene y seguridad social.</w:t>
      </w:r>
    </w:p>
    <w:p w:rsidR="00B44AB6" w:rsidRPr="00934D40" w:rsidRDefault="003604C5" w:rsidP="00E34D3A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s-AR"/>
        </w:rPr>
      </w:pPr>
      <w:r>
        <w:rPr>
          <w:rFonts w:asciiTheme="majorHAnsi" w:hAnsiTheme="majorHAnsi" w:cstheme="majorHAnsi"/>
          <w:sz w:val="24"/>
          <w:szCs w:val="24"/>
        </w:rPr>
        <w:t xml:space="preserve">La </w:t>
      </w:r>
      <w:r w:rsidR="00B44AB6" w:rsidRPr="00934D40">
        <w:rPr>
          <w:rFonts w:asciiTheme="majorHAnsi" w:hAnsiTheme="majorHAnsi" w:cstheme="majorHAnsi"/>
          <w:sz w:val="24"/>
          <w:szCs w:val="24"/>
          <w:lang w:eastAsia="es-AR"/>
        </w:rPr>
        <w:t xml:space="preserve">materia </w:t>
      </w:r>
      <w:r>
        <w:rPr>
          <w:rFonts w:asciiTheme="majorHAnsi" w:hAnsiTheme="majorHAnsi" w:cstheme="majorHAnsi"/>
          <w:sz w:val="24"/>
          <w:szCs w:val="24"/>
          <w:lang w:eastAsia="es-AR"/>
        </w:rPr>
        <w:t xml:space="preserve">se aprobará </w:t>
      </w:r>
      <w:r w:rsidR="00B44AB6" w:rsidRPr="00934D40">
        <w:rPr>
          <w:rFonts w:asciiTheme="majorHAnsi" w:hAnsiTheme="majorHAnsi" w:cstheme="majorHAnsi"/>
          <w:sz w:val="24"/>
          <w:szCs w:val="24"/>
          <w:lang w:eastAsia="es-AR"/>
        </w:rPr>
        <w:t>mediante un trabajo final monográfico escrito</w:t>
      </w:r>
      <w:r>
        <w:rPr>
          <w:rFonts w:asciiTheme="majorHAnsi" w:hAnsiTheme="majorHAnsi" w:cstheme="majorHAnsi"/>
          <w:sz w:val="24"/>
          <w:szCs w:val="24"/>
          <w:lang w:eastAsia="es-AR"/>
        </w:rPr>
        <w:t xml:space="preserve"> que </w:t>
      </w:r>
      <w:r w:rsidR="00B44AB6" w:rsidRPr="00934D40">
        <w:rPr>
          <w:rFonts w:asciiTheme="majorHAnsi" w:hAnsiTheme="majorHAnsi" w:cstheme="majorHAnsi"/>
          <w:sz w:val="24"/>
          <w:szCs w:val="24"/>
          <w:lang w:eastAsia="es-AR"/>
        </w:rPr>
        <w:t xml:space="preserve">podrá desarrollarse a partir de los contenidos del programa de la materia. Los trabajos escritos serán entregados en versión digital y respetarán las pautas formales obligatorias para la tesis de maestría (normas APA para citas bibliográficas). </w:t>
      </w:r>
    </w:p>
    <w:p w:rsidR="00B44AB6" w:rsidRPr="00934D40" w:rsidRDefault="00B44AB6" w:rsidP="00E34D3A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4D40">
        <w:rPr>
          <w:rFonts w:asciiTheme="majorHAnsi" w:hAnsiTheme="majorHAnsi" w:cstheme="majorHAnsi"/>
          <w:sz w:val="24"/>
          <w:szCs w:val="24"/>
        </w:rPr>
        <w:t>En la portada figurará nombre del o de la estudiante y la dirección de correo electrónica. El título debe ser conciso y resumir el contenido del trabajo. El cuerpo del texto dividido en subtítulos, entre los cuales se debe contar conclusiones y bibliografía. La extensión podrá ser entre 5.000 y 7.000 palabras.</w:t>
      </w:r>
    </w:p>
    <w:p w:rsidR="000E6253" w:rsidRPr="00D30BBD" w:rsidRDefault="007278A9" w:rsidP="00E34D3A">
      <w:pPr>
        <w:shd w:val="clear" w:color="auto" w:fill="FFFFFF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30BBD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  <w:lang w:eastAsia="es-AR"/>
        </w:rPr>
        <w:t xml:space="preserve">Cronograma de entrega de trabajos </w:t>
      </w:r>
      <w:r w:rsidR="000E6253" w:rsidRPr="00D30BBD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  <w:lang w:eastAsia="es-AR"/>
        </w:rPr>
        <w:t xml:space="preserve">(los mismos se envían en las fechas correspondientes </w:t>
      </w:r>
      <w:r w:rsidRPr="00D30BBD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  <w:lang w:eastAsia="es-AR"/>
        </w:rPr>
        <w:t xml:space="preserve">a la cuenta </w:t>
      </w:r>
      <w:hyperlink r:id="rId9" w:history="1">
        <w:r w:rsidRPr="00D30BBD">
          <w:rPr>
            <w:rFonts w:asciiTheme="majorHAnsi" w:eastAsia="Times New Roman" w:hAnsiTheme="majorHAnsi" w:cstheme="majorHAnsi"/>
            <w:color w:val="00A6A9"/>
            <w:sz w:val="24"/>
            <w:szCs w:val="24"/>
            <w:lang w:eastAsia="es-AR"/>
          </w:rPr>
          <w:t>academicamaestrias@sociales.uba.ar</w:t>
        </w:r>
      </w:hyperlink>
      <w:r w:rsidR="000E6253" w:rsidRPr="00D30BBD">
        <w:rPr>
          <w:rFonts w:asciiTheme="majorHAnsi" w:hAnsiTheme="majorHAnsi" w:cstheme="majorHAnsi"/>
          <w:sz w:val="24"/>
          <w:szCs w:val="24"/>
        </w:rPr>
        <w:t>)</w:t>
      </w:r>
    </w:p>
    <w:tbl>
      <w:tblPr>
        <w:tblW w:w="50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015"/>
        <w:gridCol w:w="3015"/>
      </w:tblGrid>
      <w:tr w:rsidR="007278A9" w:rsidRPr="00D30BBD" w:rsidTr="00711A5B">
        <w:trPr>
          <w:trHeight w:val="580"/>
        </w:trPr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278A9" w:rsidRPr="00D30BBD" w:rsidRDefault="007278A9" w:rsidP="00E34D3A">
            <w:pPr>
              <w:spacing w:line="276" w:lineRule="auto"/>
              <w:rPr>
                <w:rFonts w:asciiTheme="majorHAnsi" w:eastAsia="Times New Roman" w:hAnsiTheme="majorHAnsi" w:cstheme="majorHAnsi"/>
                <w:color w:val="181818"/>
                <w:sz w:val="24"/>
                <w:szCs w:val="24"/>
                <w:lang w:eastAsia="es-AR"/>
              </w:rPr>
            </w:pPr>
            <w:r w:rsidRPr="00D30BBD">
              <w:rPr>
                <w:rFonts w:asciiTheme="majorHAnsi" w:eastAsia="Times New Roman" w:hAnsiTheme="majorHAnsi" w:cstheme="majorHAnsi"/>
                <w:color w:val="181818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278A9" w:rsidRPr="00D30BBD" w:rsidRDefault="007278A9" w:rsidP="00E34D3A">
            <w:pPr>
              <w:spacing w:line="276" w:lineRule="auto"/>
              <w:rPr>
                <w:rFonts w:asciiTheme="majorHAnsi" w:eastAsia="Times New Roman" w:hAnsiTheme="majorHAnsi" w:cstheme="majorHAnsi"/>
                <w:color w:val="181818"/>
                <w:sz w:val="24"/>
                <w:szCs w:val="24"/>
                <w:lang w:eastAsia="es-AR"/>
              </w:rPr>
            </w:pPr>
            <w:r w:rsidRPr="00D30BBD">
              <w:rPr>
                <w:rFonts w:asciiTheme="majorHAnsi" w:eastAsia="Times New Roman" w:hAnsiTheme="majorHAnsi" w:cstheme="majorHAnsi"/>
                <w:b/>
                <w:bCs/>
                <w:color w:val="181818"/>
                <w:sz w:val="24"/>
                <w:szCs w:val="24"/>
                <w:lang w:eastAsia="es-AR"/>
              </w:rPr>
              <w:t>1ra Fecha de entrega de trabajos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278A9" w:rsidRPr="00D30BBD" w:rsidRDefault="007278A9" w:rsidP="00E34D3A">
            <w:pPr>
              <w:spacing w:line="276" w:lineRule="auto"/>
              <w:rPr>
                <w:rFonts w:asciiTheme="majorHAnsi" w:eastAsia="Times New Roman" w:hAnsiTheme="majorHAnsi" w:cstheme="majorHAnsi"/>
                <w:color w:val="181818"/>
                <w:sz w:val="24"/>
                <w:szCs w:val="24"/>
                <w:lang w:eastAsia="es-AR"/>
              </w:rPr>
            </w:pPr>
            <w:r w:rsidRPr="00D30BBD">
              <w:rPr>
                <w:rFonts w:asciiTheme="majorHAnsi" w:eastAsia="Times New Roman" w:hAnsiTheme="majorHAnsi" w:cstheme="majorHAnsi"/>
                <w:b/>
                <w:bCs/>
                <w:color w:val="181818"/>
                <w:sz w:val="24"/>
                <w:szCs w:val="24"/>
                <w:lang w:eastAsia="es-AR"/>
              </w:rPr>
              <w:t>Prórroga-2da fecha de entrega de trabajos</w:t>
            </w:r>
          </w:p>
        </w:tc>
      </w:tr>
      <w:tr w:rsidR="007278A9" w:rsidRPr="00D30BBD" w:rsidTr="00711A5B">
        <w:trPr>
          <w:trHeight w:val="580"/>
        </w:trPr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278A9" w:rsidRPr="00D30BBD" w:rsidRDefault="007278A9" w:rsidP="00E34D3A">
            <w:pPr>
              <w:spacing w:line="276" w:lineRule="auto"/>
              <w:rPr>
                <w:rFonts w:asciiTheme="majorHAnsi" w:eastAsia="Times New Roman" w:hAnsiTheme="majorHAnsi" w:cstheme="majorHAnsi"/>
                <w:color w:val="181818"/>
                <w:sz w:val="24"/>
                <w:szCs w:val="24"/>
                <w:lang w:eastAsia="es-AR"/>
              </w:rPr>
            </w:pPr>
            <w:r w:rsidRPr="00D30BBD">
              <w:rPr>
                <w:rFonts w:asciiTheme="majorHAnsi" w:eastAsia="Times New Roman" w:hAnsiTheme="majorHAnsi" w:cstheme="majorHAnsi"/>
                <w:b/>
                <w:bCs/>
                <w:color w:val="181818"/>
                <w:sz w:val="24"/>
                <w:szCs w:val="24"/>
                <w:lang w:eastAsia="es-AR"/>
              </w:rPr>
              <w:t>Seminarios 1er cuatrimestre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278A9" w:rsidRPr="00D30BBD" w:rsidRDefault="007278A9" w:rsidP="00E34D3A">
            <w:pPr>
              <w:spacing w:line="276" w:lineRule="auto"/>
              <w:rPr>
                <w:rFonts w:asciiTheme="majorHAnsi" w:eastAsia="Times New Roman" w:hAnsiTheme="majorHAnsi" w:cstheme="majorHAnsi"/>
                <w:color w:val="181818"/>
                <w:sz w:val="24"/>
                <w:szCs w:val="24"/>
                <w:lang w:eastAsia="es-AR"/>
              </w:rPr>
            </w:pPr>
            <w:r w:rsidRPr="00D30BBD">
              <w:rPr>
                <w:rFonts w:asciiTheme="majorHAnsi" w:eastAsia="Times New Roman" w:hAnsiTheme="majorHAnsi" w:cstheme="majorHAnsi"/>
                <w:color w:val="181818"/>
                <w:sz w:val="24"/>
                <w:szCs w:val="24"/>
                <w:lang w:eastAsia="es-AR"/>
              </w:rPr>
              <w:t>31 de octubre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E6253" w:rsidRPr="00D30BBD" w:rsidRDefault="007278A9" w:rsidP="00E34D3A">
            <w:pPr>
              <w:spacing w:line="276" w:lineRule="auto"/>
              <w:rPr>
                <w:rFonts w:asciiTheme="majorHAnsi" w:eastAsia="Times New Roman" w:hAnsiTheme="majorHAnsi" w:cstheme="majorHAnsi"/>
                <w:color w:val="181818"/>
                <w:sz w:val="24"/>
                <w:szCs w:val="24"/>
                <w:lang w:eastAsia="es-AR"/>
              </w:rPr>
            </w:pPr>
            <w:r w:rsidRPr="00D30BBD">
              <w:rPr>
                <w:rFonts w:asciiTheme="majorHAnsi" w:eastAsia="Times New Roman" w:hAnsiTheme="majorHAnsi" w:cstheme="majorHAnsi"/>
                <w:color w:val="181818"/>
                <w:sz w:val="24"/>
                <w:szCs w:val="24"/>
                <w:lang w:eastAsia="es-AR"/>
              </w:rPr>
              <w:t xml:space="preserve"> 31 de marzo </w:t>
            </w:r>
          </w:p>
          <w:p w:rsidR="007278A9" w:rsidRPr="00D30BBD" w:rsidRDefault="007278A9" w:rsidP="00E34D3A">
            <w:pPr>
              <w:spacing w:line="276" w:lineRule="auto"/>
              <w:rPr>
                <w:rFonts w:asciiTheme="majorHAnsi" w:eastAsia="Times New Roman" w:hAnsiTheme="majorHAnsi" w:cstheme="majorHAnsi"/>
                <w:color w:val="181818"/>
                <w:sz w:val="24"/>
                <w:szCs w:val="24"/>
                <w:lang w:eastAsia="es-AR"/>
              </w:rPr>
            </w:pPr>
            <w:r w:rsidRPr="00D30BBD">
              <w:rPr>
                <w:rFonts w:asciiTheme="majorHAnsi" w:eastAsia="Times New Roman" w:hAnsiTheme="majorHAnsi" w:cstheme="majorHAnsi"/>
                <w:color w:val="181818"/>
                <w:sz w:val="24"/>
                <w:szCs w:val="24"/>
                <w:lang w:eastAsia="es-AR"/>
              </w:rPr>
              <w:t>(año siguiente)</w:t>
            </w:r>
          </w:p>
        </w:tc>
      </w:tr>
    </w:tbl>
    <w:p w:rsidR="00F2149E" w:rsidRDefault="00F2149E" w:rsidP="00ED21F8">
      <w:pPr>
        <w:spacing w:line="276" w:lineRule="auto"/>
        <w:jc w:val="both"/>
        <w:rPr>
          <w:b/>
          <w:sz w:val="36"/>
          <w:szCs w:val="36"/>
        </w:rPr>
      </w:pPr>
    </w:p>
    <w:sectPr w:rsidR="00F2149E" w:rsidSect="00215174">
      <w:type w:val="continuous"/>
      <w:pgSz w:w="11906" w:h="16838"/>
      <w:pgMar w:top="1985" w:right="1701" w:bottom="1417" w:left="1701" w:header="56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E6" w:rsidRDefault="00A866E6">
      <w:pPr>
        <w:spacing w:after="0" w:line="240" w:lineRule="auto"/>
      </w:pPr>
      <w:r>
        <w:separator/>
      </w:r>
    </w:p>
  </w:endnote>
  <w:endnote w:type="continuationSeparator" w:id="0">
    <w:p w:rsidR="00A866E6" w:rsidRDefault="00A8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E6" w:rsidRDefault="00A866E6">
      <w:pPr>
        <w:spacing w:after="0" w:line="240" w:lineRule="auto"/>
      </w:pPr>
      <w:r>
        <w:separator/>
      </w:r>
    </w:p>
  </w:footnote>
  <w:footnote w:type="continuationSeparator" w:id="0">
    <w:p w:rsidR="00A866E6" w:rsidRDefault="00A8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5B" w:rsidRDefault="00D07B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D07B3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-901584</wp:posOffset>
          </wp:positionH>
          <wp:positionV relativeFrom="paragraph">
            <wp:posOffset>-349859</wp:posOffset>
          </wp:positionV>
          <wp:extent cx="7301204" cy="10318112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955" cy="1031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044A"/>
    <w:multiLevelType w:val="multilevel"/>
    <w:tmpl w:val="580E9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9E"/>
    <w:rsid w:val="00027289"/>
    <w:rsid w:val="00092409"/>
    <w:rsid w:val="000B7640"/>
    <w:rsid w:val="000E4F4D"/>
    <w:rsid w:val="000E6253"/>
    <w:rsid w:val="0011277F"/>
    <w:rsid w:val="001A5117"/>
    <w:rsid w:val="00215174"/>
    <w:rsid w:val="002663DC"/>
    <w:rsid w:val="002C61D3"/>
    <w:rsid w:val="003604C5"/>
    <w:rsid w:val="00427B8F"/>
    <w:rsid w:val="00594110"/>
    <w:rsid w:val="005B0CC5"/>
    <w:rsid w:val="005B7FA4"/>
    <w:rsid w:val="00650F23"/>
    <w:rsid w:val="006B2119"/>
    <w:rsid w:val="006E62EB"/>
    <w:rsid w:val="00711A5B"/>
    <w:rsid w:val="007278A9"/>
    <w:rsid w:val="00934D40"/>
    <w:rsid w:val="00960E0C"/>
    <w:rsid w:val="009A2FD5"/>
    <w:rsid w:val="00A866E6"/>
    <w:rsid w:val="00B14539"/>
    <w:rsid w:val="00B14745"/>
    <w:rsid w:val="00B22ED7"/>
    <w:rsid w:val="00B4377D"/>
    <w:rsid w:val="00B44AB6"/>
    <w:rsid w:val="00B923F8"/>
    <w:rsid w:val="00D05A84"/>
    <w:rsid w:val="00D07B37"/>
    <w:rsid w:val="00D30BBD"/>
    <w:rsid w:val="00D37A5A"/>
    <w:rsid w:val="00D72A22"/>
    <w:rsid w:val="00D85B1E"/>
    <w:rsid w:val="00E34D3A"/>
    <w:rsid w:val="00E53554"/>
    <w:rsid w:val="00E87197"/>
    <w:rsid w:val="00ED21F8"/>
    <w:rsid w:val="00F2149E"/>
    <w:rsid w:val="00F611C2"/>
    <w:rsid w:val="00FC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61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1C2"/>
  </w:style>
  <w:style w:type="paragraph" w:styleId="Piedepgina">
    <w:name w:val="footer"/>
    <w:basedOn w:val="Normal"/>
    <w:link w:val="PiedepginaCar"/>
    <w:uiPriority w:val="99"/>
    <w:unhideWhenUsed/>
    <w:rsid w:val="00F61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1C2"/>
  </w:style>
  <w:style w:type="paragraph" w:styleId="NormalWeb">
    <w:name w:val="Normal (Web)"/>
    <w:basedOn w:val="Normal"/>
    <w:uiPriority w:val="99"/>
    <w:unhideWhenUsed/>
    <w:rsid w:val="0072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278A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278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5B1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C61D3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2C61D3"/>
    <w:rPr>
      <w:rFonts w:ascii="Tahoma" w:eastAsia="Times New Roman" w:hAnsi="Tahoma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61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1C2"/>
  </w:style>
  <w:style w:type="paragraph" w:styleId="Piedepgina">
    <w:name w:val="footer"/>
    <w:basedOn w:val="Normal"/>
    <w:link w:val="PiedepginaCar"/>
    <w:uiPriority w:val="99"/>
    <w:unhideWhenUsed/>
    <w:rsid w:val="00F61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1C2"/>
  </w:style>
  <w:style w:type="paragraph" w:styleId="NormalWeb">
    <w:name w:val="Normal (Web)"/>
    <w:basedOn w:val="Normal"/>
    <w:uiPriority w:val="99"/>
    <w:unhideWhenUsed/>
    <w:rsid w:val="0072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278A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278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5B1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C61D3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2C61D3"/>
    <w:rPr>
      <w:rFonts w:ascii="Tahoma" w:eastAsia="Times New Roman" w:hAnsi="Tahoma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ademicamaestrias@sociales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1569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la Nacion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Soler</dc:creator>
  <cp:lastModifiedBy>Poder Judicial de la Nacion</cp:lastModifiedBy>
  <cp:revision>4</cp:revision>
  <dcterms:created xsi:type="dcterms:W3CDTF">2023-03-15T12:26:00Z</dcterms:created>
  <dcterms:modified xsi:type="dcterms:W3CDTF">2023-03-15T13:12:00Z</dcterms:modified>
</cp:coreProperties>
</file>