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D9" w:rsidRDefault="00A71DD9"/>
    <w:p w:rsidR="008C57EE" w:rsidRDefault="008C57EE"/>
    <w:p w:rsidR="009F7D35" w:rsidRDefault="009F7D35" w:rsidP="009F7D35">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rsidR="009F7D35" w:rsidRDefault="009F7D35" w:rsidP="009F7D35">
      <w:pPr>
        <w:pStyle w:val="Ttulo1"/>
        <w:spacing w:after="0"/>
        <w:rPr>
          <w:sz w:val="36"/>
          <w:szCs w:val="36"/>
        </w:rPr>
      </w:pPr>
      <w:bookmarkStart w:id="1" w:name="_heading=h.30j0zll" w:colFirst="0" w:colLast="0"/>
      <w:bookmarkEnd w:id="1"/>
      <w:r>
        <w:rPr>
          <w:sz w:val="36"/>
          <w:szCs w:val="36"/>
        </w:rPr>
        <w:t>1. TÍTULO DEL CURSO</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Pr="00E612C8" w:rsidRDefault="009F7D35" w:rsidP="004450D7">
            <w:pPr>
              <w:widowControl w:val="0"/>
              <w:pBdr>
                <w:top w:val="nil"/>
                <w:left w:val="nil"/>
                <w:bottom w:val="nil"/>
                <w:right w:val="nil"/>
                <w:between w:val="nil"/>
              </w:pBdr>
              <w:rPr>
                <w:highlight w:val="yellow"/>
              </w:rPr>
            </w:pPr>
            <w:r w:rsidRPr="00DB42BF">
              <w:t>Violencias en el campo de la salud: otras miradas, otras perspectivas.</w:t>
            </w:r>
          </w:p>
        </w:tc>
      </w:tr>
    </w:tbl>
    <w:p w:rsidR="009F7D35" w:rsidRDefault="009F7D35" w:rsidP="009F7D35">
      <w:pPr>
        <w:pStyle w:val="Ttulo1"/>
        <w:rPr>
          <w:sz w:val="36"/>
          <w:szCs w:val="36"/>
        </w:rPr>
      </w:pPr>
      <w:bookmarkStart w:id="2" w:name="_heading=h.1fob9te" w:colFirst="0" w:colLast="0"/>
      <w:bookmarkEnd w:id="2"/>
      <w:r>
        <w:rPr>
          <w:sz w:val="36"/>
          <w:szCs w:val="36"/>
        </w:rPr>
        <w:t>2. DOCENTE A CARGO Y EQUIPO DOCENTE</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F7D35" w:rsidTr="004450D7">
        <w:trPr>
          <w:jc w:val="center"/>
        </w:trPr>
        <w:tc>
          <w:tcPr>
            <w:tcW w:w="4252" w:type="dxa"/>
            <w:shd w:val="clear" w:color="auto" w:fill="999999"/>
            <w:tcMar>
              <w:top w:w="100" w:type="dxa"/>
              <w:left w:w="100" w:type="dxa"/>
              <w:bottom w:w="100" w:type="dxa"/>
              <w:right w:w="100" w:type="dxa"/>
            </w:tcMar>
            <w:vAlign w:val="center"/>
          </w:tcPr>
          <w:p w:rsidR="009F7D35" w:rsidRDefault="009F7D35" w:rsidP="004450D7">
            <w:pPr>
              <w:widowControl w:val="0"/>
              <w:rPr>
                <w:b/>
              </w:rPr>
            </w:pPr>
            <w:r>
              <w:rPr>
                <w:b/>
              </w:rPr>
              <w:t>APELLIDO Y NOMBRE</w:t>
            </w:r>
          </w:p>
        </w:tc>
        <w:tc>
          <w:tcPr>
            <w:tcW w:w="4253" w:type="dxa"/>
            <w:shd w:val="clear" w:color="auto" w:fill="auto"/>
            <w:tcMar>
              <w:top w:w="100" w:type="dxa"/>
              <w:left w:w="100" w:type="dxa"/>
              <w:bottom w:w="100" w:type="dxa"/>
              <w:right w:w="100" w:type="dxa"/>
            </w:tcMar>
          </w:tcPr>
          <w:p w:rsidR="009F7D35" w:rsidRDefault="009F7D35" w:rsidP="004450D7">
            <w:pPr>
              <w:widowControl w:val="0"/>
            </w:pPr>
          </w:p>
        </w:tc>
      </w:tr>
      <w:tr w:rsidR="009F7D35" w:rsidTr="004450D7">
        <w:trPr>
          <w:jc w:val="center"/>
        </w:trPr>
        <w:tc>
          <w:tcPr>
            <w:tcW w:w="4252" w:type="dxa"/>
            <w:shd w:val="clear" w:color="auto" w:fill="999999"/>
            <w:tcMar>
              <w:top w:w="100" w:type="dxa"/>
              <w:left w:w="100" w:type="dxa"/>
              <w:bottom w:w="100" w:type="dxa"/>
              <w:right w:w="100" w:type="dxa"/>
            </w:tcMar>
            <w:vAlign w:val="center"/>
          </w:tcPr>
          <w:p w:rsidR="009F7D35" w:rsidRDefault="009F7D35" w:rsidP="004450D7">
            <w:pPr>
              <w:widowControl w:val="0"/>
              <w:rPr>
                <w:b/>
              </w:rPr>
            </w:pPr>
            <w:r>
              <w:rPr>
                <w:b/>
              </w:rPr>
              <w:t>Lic. M. Gabriela Pombo</w:t>
            </w:r>
          </w:p>
        </w:tc>
        <w:tc>
          <w:tcPr>
            <w:tcW w:w="4253" w:type="dxa"/>
            <w:shd w:val="clear" w:color="auto" w:fill="auto"/>
            <w:tcMar>
              <w:top w:w="100" w:type="dxa"/>
              <w:left w:w="100" w:type="dxa"/>
              <w:bottom w:w="100" w:type="dxa"/>
              <w:right w:w="100" w:type="dxa"/>
            </w:tcMar>
          </w:tcPr>
          <w:p w:rsidR="009F7D35" w:rsidRDefault="009F7D35" w:rsidP="004450D7">
            <w:pPr>
              <w:widowControl w:val="0"/>
            </w:pPr>
          </w:p>
        </w:tc>
      </w:tr>
      <w:tr w:rsidR="009F7D35" w:rsidTr="004450D7">
        <w:trPr>
          <w:jc w:val="center"/>
        </w:trPr>
        <w:tc>
          <w:tcPr>
            <w:tcW w:w="4252" w:type="dxa"/>
            <w:shd w:val="clear" w:color="auto" w:fill="999999"/>
            <w:tcMar>
              <w:top w:w="100" w:type="dxa"/>
              <w:left w:w="100" w:type="dxa"/>
              <w:bottom w:w="100" w:type="dxa"/>
              <w:right w:w="100" w:type="dxa"/>
            </w:tcMar>
            <w:vAlign w:val="center"/>
          </w:tcPr>
          <w:p w:rsidR="009F7D35" w:rsidRDefault="009F7D35" w:rsidP="004450D7">
            <w:pPr>
              <w:widowControl w:val="0"/>
              <w:rPr>
                <w:b/>
              </w:rPr>
            </w:pPr>
            <w:r>
              <w:rPr>
                <w:b/>
              </w:rPr>
              <w:t xml:space="preserve">Lic. Claudia E. </w:t>
            </w:r>
            <w:proofErr w:type="spellStart"/>
            <w:r>
              <w:rPr>
                <w:b/>
              </w:rPr>
              <w:t>Teodori</w:t>
            </w:r>
            <w:proofErr w:type="spellEnd"/>
          </w:p>
        </w:tc>
        <w:tc>
          <w:tcPr>
            <w:tcW w:w="4253" w:type="dxa"/>
            <w:shd w:val="clear" w:color="auto" w:fill="auto"/>
            <w:tcMar>
              <w:top w:w="100" w:type="dxa"/>
              <w:left w:w="100" w:type="dxa"/>
              <w:bottom w:w="100" w:type="dxa"/>
              <w:right w:w="100" w:type="dxa"/>
            </w:tcMar>
          </w:tcPr>
          <w:p w:rsidR="009F7D35" w:rsidRDefault="009F7D35" w:rsidP="004450D7">
            <w:pPr>
              <w:widowControl w:val="0"/>
            </w:pPr>
          </w:p>
        </w:tc>
      </w:tr>
    </w:tbl>
    <w:p w:rsidR="009F7D35" w:rsidRDefault="009F7D35" w:rsidP="009F7D35">
      <w:pPr>
        <w:pStyle w:val="Ttulo1"/>
        <w:rPr>
          <w:sz w:val="36"/>
          <w:szCs w:val="36"/>
        </w:rPr>
      </w:pPr>
      <w:bookmarkStart w:id="3" w:name="_heading=h.3znysh7" w:colFirst="0" w:colLast="0"/>
      <w:bookmarkEnd w:id="3"/>
      <w:r>
        <w:rPr>
          <w:sz w:val="36"/>
          <w:szCs w:val="36"/>
        </w:rPr>
        <w:t>3. JUSTIFICACIÓN - FUNDAMENTACIÓN</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Default="009F7D35" w:rsidP="004450D7">
            <w:pPr>
              <w:widowControl w:val="0"/>
              <w:spacing w:before="240"/>
            </w:pPr>
            <w:r w:rsidRPr="00B97D82">
              <w:rPr>
                <w:rFonts w:asciiTheme="majorHAnsi" w:eastAsia="Times New Roman" w:hAnsiTheme="majorHAnsi" w:cs="Times New Roman"/>
              </w:rPr>
              <w:t>La violencia por razones de género</w:t>
            </w:r>
            <w:r>
              <w:rPr>
                <w:rFonts w:asciiTheme="majorHAnsi" w:eastAsia="Times New Roman" w:hAnsiTheme="majorHAnsi" w:cs="Times New Roman"/>
              </w:rPr>
              <w:t xml:space="preserve"> </w:t>
            </w:r>
            <w:r w:rsidRPr="00401287">
              <w:rPr>
                <w:rFonts w:asciiTheme="majorHAnsi" w:eastAsia="Times New Roman" w:hAnsiTheme="majorHAnsi" w:cs="Times New Roman"/>
              </w:rPr>
              <w:t>representa para las mujeres y las disidenci</w:t>
            </w:r>
            <w:r>
              <w:rPr>
                <w:rFonts w:asciiTheme="majorHAnsi" w:eastAsia="Times New Roman" w:hAnsiTheme="majorHAnsi" w:cs="Times New Roman"/>
              </w:rPr>
              <w:t>a</w:t>
            </w:r>
            <w:r w:rsidRPr="00401287">
              <w:rPr>
                <w:rFonts w:asciiTheme="majorHAnsi" w:eastAsia="Times New Roman" w:hAnsiTheme="majorHAnsi" w:cs="Times New Roman"/>
              </w:rPr>
              <w:t>s sexo-genéricas una fuente de sufrimiento y padecimiento que se manifiesta en una multiplicidad de vulneraciones de derechos. A partir del impacto que provoca, requiere la formulación de políticas y la organización de prácticas y servicios cualificados para su efectivo abordaje. En esta línea, la capacitación de los equipos profesionales que intervienen en su cotidianeidad con mujeres se torna una estrategia prioritaria para garantizar el acceso a derechos y la superación de las violencia</w:t>
            </w:r>
            <w:r>
              <w:rPr>
                <w:rFonts w:asciiTheme="majorHAnsi" w:eastAsia="Times New Roman" w:hAnsiTheme="majorHAnsi" w:cs="Times New Roman"/>
              </w:rPr>
              <w:t>s</w:t>
            </w:r>
            <w:r w:rsidRPr="00401287">
              <w:rPr>
                <w:rFonts w:asciiTheme="majorHAnsi" w:eastAsia="Times New Roman" w:hAnsiTheme="majorHAnsi" w:cs="Times New Roman"/>
              </w:rPr>
              <w:t>.</w:t>
            </w:r>
            <w:r>
              <w:rPr>
                <w:rFonts w:asciiTheme="majorHAnsi" w:eastAsia="Times New Roman" w:hAnsiTheme="majorHAnsi" w:cs="Times New Roman"/>
              </w:rPr>
              <w:t xml:space="preserve">                                                                                                                                                             S</w:t>
            </w:r>
            <w:r w:rsidRPr="00401287">
              <w:rPr>
                <w:rFonts w:asciiTheme="majorHAnsi" w:eastAsia="Times New Roman" w:hAnsiTheme="majorHAnsi" w:cs="Times New Roman"/>
              </w:rPr>
              <w:t xml:space="preserve">e abordan algunos aspectos como la oferta de atención, cuidados y apoyo destinadas a mujeres en situación de violencia analizando el rol del sector salud, el sistema judicial, la policía, espacios comunitarios y redes sociales. Por otro lado, se describen los principales rasgos de </w:t>
            </w:r>
            <w:r>
              <w:rPr>
                <w:rFonts w:asciiTheme="majorHAnsi" w:eastAsia="Times New Roman" w:hAnsiTheme="majorHAnsi" w:cs="Times New Roman"/>
              </w:rPr>
              <w:t xml:space="preserve">sus </w:t>
            </w:r>
            <w:r w:rsidRPr="00401287">
              <w:rPr>
                <w:rFonts w:asciiTheme="majorHAnsi" w:eastAsia="Times New Roman" w:hAnsiTheme="majorHAnsi" w:cs="Times New Roman"/>
              </w:rPr>
              <w:t>trayectorias privilegiando su propia perspectiva. También se desarrolla el marco normativo sobre la protección integral de las mujeres, como insumos para la identificación y abordaje de variadas vulneraciones de derechos.</w:t>
            </w:r>
            <w:r>
              <w:rPr>
                <w:rFonts w:asciiTheme="majorHAnsi" w:eastAsia="Times New Roman" w:hAnsiTheme="majorHAnsi" w:cs="Times New Roman"/>
              </w:rPr>
              <w:t xml:space="preserve">                                                             </w:t>
            </w:r>
            <w:r w:rsidRPr="00401287">
              <w:rPr>
                <w:rFonts w:asciiTheme="majorHAnsi" w:eastAsia="Times New Roman" w:hAnsiTheme="majorHAnsi" w:cs="Times New Roman"/>
              </w:rPr>
              <w:t xml:space="preserve">Se </w:t>
            </w:r>
            <w:r>
              <w:rPr>
                <w:rFonts w:asciiTheme="majorHAnsi" w:eastAsia="Times New Roman" w:hAnsiTheme="majorHAnsi" w:cs="Times New Roman"/>
              </w:rPr>
              <w:t xml:space="preserve">analiza </w:t>
            </w:r>
            <w:r w:rsidRPr="00401287">
              <w:rPr>
                <w:rFonts w:asciiTheme="majorHAnsi" w:eastAsia="Times New Roman" w:hAnsiTheme="majorHAnsi" w:cs="Times New Roman"/>
              </w:rPr>
              <w:t xml:space="preserve">la capacidad para la detección y abordaje de violencias </w:t>
            </w:r>
            <w:r>
              <w:rPr>
                <w:rFonts w:asciiTheme="majorHAnsi" w:eastAsia="Times New Roman" w:hAnsiTheme="majorHAnsi" w:cs="Times New Roman"/>
              </w:rPr>
              <w:t xml:space="preserve">abordando </w:t>
            </w:r>
            <w:r w:rsidRPr="00401287">
              <w:rPr>
                <w:rFonts w:asciiTheme="majorHAnsi" w:eastAsia="Times New Roman" w:hAnsiTheme="majorHAnsi" w:cs="Times New Roman"/>
              </w:rPr>
              <w:t xml:space="preserve"> los riesgos que acarrea para las mujeres y la </w:t>
            </w:r>
            <w:r>
              <w:rPr>
                <w:rFonts w:asciiTheme="majorHAnsi" w:eastAsia="Times New Roman" w:hAnsiTheme="majorHAnsi" w:cs="Times New Roman"/>
              </w:rPr>
              <w:t xml:space="preserve">población </w:t>
            </w:r>
            <w:proofErr w:type="spellStart"/>
            <w:r>
              <w:rPr>
                <w:rFonts w:asciiTheme="majorHAnsi" w:eastAsia="Times New Roman" w:hAnsiTheme="majorHAnsi" w:cs="Times New Roman"/>
              </w:rPr>
              <w:t>trans</w:t>
            </w:r>
            <w:proofErr w:type="spellEnd"/>
            <w:r>
              <w:rPr>
                <w:rFonts w:asciiTheme="majorHAnsi" w:eastAsia="Times New Roman" w:hAnsiTheme="majorHAnsi" w:cs="Times New Roman"/>
              </w:rPr>
              <w:t xml:space="preserve"> la insuficiente </w:t>
            </w:r>
            <w:r w:rsidRPr="00401287">
              <w:rPr>
                <w:rFonts w:asciiTheme="majorHAnsi" w:eastAsia="Times New Roman" w:hAnsiTheme="majorHAnsi" w:cs="Times New Roman"/>
              </w:rPr>
              <w:t xml:space="preserve">respuesta </w:t>
            </w:r>
            <w:r>
              <w:rPr>
                <w:rFonts w:asciiTheme="majorHAnsi" w:eastAsia="Times New Roman" w:hAnsiTheme="majorHAnsi" w:cs="Times New Roman"/>
              </w:rPr>
              <w:t xml:space="preserve">asistencial. </w:t>
            </w:r>
            <w:r w:rsidRPr="00401287">
              <w:rPr>
                <w:rFonts w:asciiTheme="majorHAnsi" w:eastAsia="Times New Roman" w:hAnsiTheme="majorHAnsi" w:cs="Times New Roman"/>
              </w:rPr>
              <w:t xml:space="preserve">Insuficiencias que se plasman en la </w:t>
            </w:r>
            <w:proofErr w:type="spellStart"/>
            <w:r w:rsidRPr="00401287">
              <w:rPr>
                <w:rFonts w:asciiTheme="majorHAnsi" w:eastAsia="Times New Roman" w:hAnsiTheme="majorHAnsi" w:cs="Times New Roman"/>
              </w:rPr>
              <w:t>invisibilización</w:t>
            </w:r>
            <w:proofErr w:type="spellEnd"/>
            <w:r w:rsidRPr="00401287">
              <w:rPr>
                <w:rFonts w:asciiTheme="majorHAnsi" w:eastAsia="Times New Roman" w:hAnsiTheme="majorHAnsi" w:cs="Times New Roman"/>
              </w:rPr>
              <w:t xml:space="preserve"> de la temática, en procesos de </w:t>
            </w:r>
            <w:proofErr w:type="spellStart"/>
            <w:r w:rsidRPr="00401287">
              <w:rPr>
                <w:rFonts w:asciiTheme="majorHAnsi" w:eastAsia="Times New Roman" w:hAnsiTheme="majorHAnsi" w:cs="Times New Roman"/>
              </w:rPr>
              <w:t>revictimización</w:t>
            </w:r>
            <w:proofErr w:type="spellEnd"/>
            <w:r w:rsidRPr="00401287">
              <w:rPr>
                <w:rFonts w:asciiTheme="majorHAnsi" w:eastAsia="Times New Roman" w:hAnsiTheme="majorHAnsi" w:cs="Times New Roman"/>
              </w:rPr>
              <w:t xml:space="preserve"> y en prácticas iatrogénicas como la medicalización del padecimiento. Se describen los vínculos entre salud y justicia señalando la escasa capacidad de articulación intersectorial. Asimismo, se problematizan las concepciones </w:t>
            </w:r>
            <w:proofErr w:type="spellStart"/>
            <w:r w:rsidRPr="00401287">
              <w:rPr>
                <w:rFonts w:asciiTheme="majorHAnsi" w:eastAsia="Times New Roman" w:hAnsiTheme="majorHAnsi" w:cs="Times New Roman"/>
              </w:rPr>
              <w:t>universalizantes</w:t>
            </w:r>
            <w:proofErr w:type="spellEnd"/>
            <w:r w:rsidRPr="00401287">
              <w:rPr>
                <w:rFonts w:asciiTheme="majorHAnsi" w:eastAsia="Times New Roman" w:hAnsiTheme="majorHAnsi" w:cs="Times New Roman"/>
              </w:rPr>
              <w:t xml:space="preserve"> y </w:t>
            </w:r>
            <w:proofErr w:type="spellStart"/>
            <w:r w:rsidRPr="00401287">
              <w:rPr>
                <w:rFonts w:asciiTheme="majorHAnsi" w:eastAsia="Times New Roman" w:hAnsiTheme="majorHAnsi" w:cs="Times New Roman"/>
              </w:rPr>
              <w:t>deshistorizantes</w:t>
            </w:r>
            <w:proofErr w:type="spellEnd"/>
            <w:r w:rsidRPr="00401287">
              <w:rPr>
                <w:rFonts w:asciiTheme="majorHAnsi" w:eastAsia="Times New Roman" w:hAnsiTheme="majorHAnsi" w:cs="Times New Roman"/>
              </w:rPr>
              <w:t xml:space="preserve"> sobre las mujeres y sobre las violencias, y la consecuente necesidad </w:t>
            </w:r>
            <w:r w:rsidRPr="00401287">
              <w:rPr>
                <w:rFonts w:asciiTheme="majorHAnsi" w:eastAsia="Times New Roman" w:hAnsiTheme="majorHAnsi" w:cs="Times New Roman"/>
              </w:rPr>
              <w:lastRenderedPageBreak/>
              <w:t xml:space="preserve">de adoptar perspectivas de intervención atentas a la densidad y diversidad que confluye en el colectivo de mujeres tanto como en el de las disidencias sexo-genéricas. En esta línea, se propone una perspectiva de intervención  </w:t>
            </w:r>
            <w:proofErr w:type="spellStart"/>
            <w:r w:rsidRPr="00401287">
              <w:rPr>
                <w:rFonts w:asciiTheme="majorHAnsi" w:eastAsia="Times New Roman" w:hAnsiTheme="majorHAnsi" w:cs="Times New Roman"/>
              </w:rPr>
              <w:t>interseccional</w:t>
            </w:r>
            <w:proofErr w:type="spellEnd"/>
            <w:r w:rsidRPr="00401287">
              <w:rPr>
                <w:rFonts w:asciiTheme="majorHAnsi" w:eastAsia="Times New Roman" w:hAnsiTheme="majorHAnsi" w:cs="Times New Roman"/>
              </w:rPr>
              <w:t xml:space="preserve"> -que </w:t>
            </w:r>
            <w:proofErr w:type="spellStart"/>
            <w:r w:rsidRPr="00401287">
              <w:rPr>
                <w:rFonts w:asciiTheme="majorHAnsi" w:eastAsia="Times New Roman" w:hAnsiTheme="majorHAnsi" w:cs="Times New Roman"/>
              </w:rPr>
              <w:t>sinergice</w:t>
            </w:r>
            <w:proofErr w:type="spellEnd"/>
            <w:r w:rsidRPr="00401287">
              <w:rPr>
                <w:rFonts w:asciiTheme="majorHAnsi" w:eastAsia="Times New Roman" w:hAnsiTheme="majorHAnsi" w:cs="Times New Roman"/>
              </w:rPr>
              <w:t xml:space="preserve"> las perspectivas de derechos humanos, de género y de interculturalidad crítica- como perspectiva capaz de capturar y abordar las múltiples desigualdades (de género, de clase, étnico-raciales, migratorias, nacionales, de orientación sexual, etc.) que afectan a las </w:t>
            </w:r>
            <w:r w:rsidRPr="00B97D82">
              <w:rPr>
                <w:rFonts w:asciiTheme="majorHAnsi" w:eastAsia="Times New Roman" w:hAnsiTheme="majorHAnsi" w:cs="Times New Roman"/>
              </w:rPr>
              <w:t>personas e</w:t>
            </w:r>
            <w:r w:rsidRPr="00401287">
              <w:rPr>
                <w:rFonts w:asciiTheme="majorHAnsi" w:eastAsia="Times New Roman" w:hAnsiTheme="majorHAnsi" w:cs="Times New Roman"/>
              </w:rPr>
              <w:t>n situación de violencia.</w:t>
            </w:r>
            <w:r>
              <w:rPr>
                <w:rFonts w:asciiTheme="majorHAnsi" w:eastAsia="Times New Roman" w:hAnsiTheme="majorHAnsi" w:cs="Times New Roman"/>
              </w:rPr>
              <w:t xml:space="preserve">                                                                                                                                            </w:t>
            </w:r>
            <w:r w:rsidRPr="00401287">
              <w:rPr>
                <w:rFonts w:asciiTheme="majorHAnsi" w:eastAsia="Times New Roman" w:hAnsiTheme="majorHAnsi" w:cs="Times New Roman"/>
              </w:rPr>
              <w:t xml:space="preserve"> </w:t>
            </w:r>
            <w:r>
              <w:rPr>
                <w:rFonts w:asciiTheme="majorHAnsi" w:eastAsia="Times New Roman" w:hAnsiTheme="majorHAnsi" w:cs="Times New Roman"/>
              </w:rPr>
              <w:t xml:space="preserve">La </w:t>
            </w:r>
            <w:r w:rsidRPr="00401287">
              <w:rPr>
                <w:rFonts w:asciiTheme="majorHAnsi" w:eastAsia="Times New Roman" w:hAnsiTheme="majorHAnsi" w:cs="Times New Roman"/>
              </w:rPr>
              <w:t xml:space="preserve">propuesta acerca una mirada crítica y actualizada elaborada a partir del trabajo en docencia, investigación e intervención social que desarrollan desde hace años las docentes, tanto en el ámbito gubernamental como en el de la sociedad civil. </w:t>
            </w:r>
          </w:p>
        </w:tc>
      </w:tr>
    </w:tbl>
    <w:p w:rsidR="009F7D35" w:rsidRDefault="009F7D35" w:rsidP="009F7D35">
      <w:pPr>
        <w:pStyle w:val="Ttulo1"/>
        <w:rPr>
          <w:sz w:val="36"/>
          <w:szCs w:val="36"/>
        </w:rPr>
      </w:pPr>
      <w:bookmarkStart w:id="4" w:name="_heading=h.2et92p0" w:colFirst="0" w:colLast="0"/>
      <w:bookmarkEnd w:id="4"/>
      <w:r>
        <w:rPr>
          <w:sz w:val="36"/>
          <w:szCs w:val="36"/>
        </w:rPr>
        <w:lastRenderedPageBreak/>
        <w:t>4. OBJETIVOS</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Default="009F7D35" w:rsidP="004450D7">
            <w:pPr>
              <w:widowControl w:val="0"/>
            </w:pPr>
            <w:r>
              <w:t xml:space="preserve">El objetivo general del curso busca que los/as participantes valoren la transversalidad del género como perspectiva a incluir en el abordaje de las violencias en el campo de la salud, incorporando en forma crítica herramientas conceptuales y procedimentales.  </w:t>
            </w:r>
          </w:p>
          <w:p w:rsidR="009F7D35" w:rsidRDefault="009F7D35" w:rsidP="004450D7">
            <w:pPr>
              <w:widowControl w:val="0"/>
            </w:pPr>
            <w:r>
              <w:t xml:space="preserve">Se  apunta  a  ampliar  y  actualizar  los  conocimientos  sobre  el  abordaje  y  la  reproducción  de  las violencias analizando las respuestas comunitarias, las del campo de la salud y del sistema de justicia. </w:t>
            </w:r>
          </w:p>
          <w:p w:rsidR="009F7D35" w:rsidRPr="00B97D82" w:rsidRDefault="009F7D35" w:rsidP="004450D7">
            <w:pPr>
              <w:widowControl w:val="0"/>
            </w:pPr>
            <w:r>
              <w:t xml:space="preserve">Conocer  </w:t>
            </w:r>
            <w:r w:rsidRPr="00B97D82">
              <w:t xml:space="preserve">los principales rasgos de las trayectorias de las mujeres en situación de violencia privilegiando su propia perspectiva. </w:t>
            </w:r>
          </w:p>
          <w:p w:rsidR="009F7D35" w:rsidRDefault="009F7D35" w:rsidP="004450D7">
            <w:pPr>
              <w:widowControl w:val="0"/>
            </w:pPr>
            <w:r w:rsidRPr="00B97D82">
              <w:t xml:space="preserve">Analizar el marco normativo regional y nacional  sobre salud y derechos y protección integral de las mujeres.  Se propone un enfoque de intervención </w:t>
            </w:r>
            <w:proofErr w:type="spellStart"/>
            <w:r w:rsidRPr="00B97D82">
              <w:t>interseccional</w:t>
            </w:r>
            <w:proofErr w:type="spellEnd"/>
            <w:r w:rsidRPr="00B97D82">
              <w:t xml:space="preserve"> -que </w:t>
            </w:r>
            <w:proofErr w:type="spellStart"/>
            <w:r w:rsidRPr="00B97D82">
              <w:t>sinergice</w:t>
            </w:r>
            <w:proofErr w:type="spellEnd"/>
            <w:r w:rsidRPr="00B97D82">
              <w:t xml:space="preserve"> las perspectivas de derechos humanos, de género y  </w:t>
            </w:r>
            <w:r>
              <w:t>d</w:t>
            </w:r>
            <w:r w:rsidRPr="00B97D82">
              <w:t xml:space="preserve">e  interculturalidad  crítica-  como  orientación capaz  de  capturar  y  abordar  las  múltiples  desigualdades  (de  género,  de  clase,  étnico-raciales, migratorias,  nacionales,  de  orientación  sexual, de condición corporal y funcional, por situación de encierro etc.)  </w:t>
            </w:r>
            <w:proofErr w:type="gramStart"/>
            <w:r w:rsidRPr="00B97D82">
              <w:t>que</w:t>
            </w:r>
            <w:proofErr w:type="gramEnd"/>
            <w:r w:rsidRPr="00B97D82">
              <w:t xml:space="preserve"> afectan a las mujeres y LGBTIQ+ en situación de violencia.  </w:t>
            </w:r>
          </w:p>
        </w:tc>
      </w:tr>
    </w:tbl>
    <w:p w:rsidR="009F7D35" w:rsidRDefault="009F7D35" w:rsidP="009F7D35">
      <w:pPr>
        <w:pStyle w:val="Ttulo1"/>
        <w:rPr>
          <w:sz w:val="36"/>
          <w:szCs w:val="36"/>
        </w:rPr>
      </w:pPr>
      <w:bookmarkStart w:id="5" w:name="_heading=h.tyjcwt" w:colFirst="0" w:colLast="0"/>
      <w:bookmarkEnd w:id="5"/>
      <w:r>
        <w:rPr>
          <w:sz w:val="36"/>
          <w:szCs w:val="36"/>
        </w:rPr>
        <w:t>5. PROGRAMA A DESARROLLAR</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Pr="00B97D82" w:rsidRDefault="009F7D35" w:rsidP="004450D7">
            <w:pPr>
              <w:rPr>
                <w:rFonts w:asciiTheme="majorHAnsi" w:hAnsiTheme="majorHAnsi"/>
              </w:rPr>
            </w:pPr>
            <w:r w:rsidRPr="00A67B4A">
              <w:rPr>
                <w:rFonts w:asciiTheme="majorHAnsi" w:hAnsiTheme="majorHAnsi"/>
                <w:u w:val="single"/>
              </w:rPr>
              <w:t xml:space="preserve">Contenidos:                                                                                                                                             </w:t>
            </w:r>
            <w:r w:rsidRPr="00401287">
              <w:rPr>
                <w:rFonts w:asciiTheme="majorHAnsi" w:hAnsiTheme="majorHAnsi"/>
              </w:rPr>
              <w:t xml:space="preserve">Los  feminismos y la perspectiva de género en el campo de la salud.  Los procesos de salud-enfermedad-atención/cuidado desde  una  perspectiva  de  género.                                              La violencia como problema de salud pública. El impacto de las violencias en la salud de las mujeres </w:t>
            </w:r>
            <w:proofErr w:type="spellStart"/>
            <w:r w:rsidRPr="00401287">
              <w:rPr>
                <w:rFonts w:asciiTheme="majorHAnsi" w:hAnsiTheme="majorHAnsi"/>
              </w:rPr>
              <w:t>cis</w:t>
            </w:r>
            <w:proofErr w:type="spellEnd"/>
            <w:r w:rsidRPr="00401287">
              <w:rPr>
                <w:rFonts w:asciiTheme="majorHAnsi" w:hAnsiTheme="majorHAnsi"/>
              </w:rPr>
              <w:t xml:space="preserve">, la población </w:t>
            </w:r>
            <w:proofErr w:type="spellStart"/>
            <w:r w:rsidRPr="00401287">
              <w:rPr>
                <w:rFonts w:asciiTheme="majorHAnsi" w:hAnsiTheme="majorHAnsi"/>
              </w:rPr>
              <w:t>trans</w:t>
            </w:r>
            <w:proofErr w:type="spellEnd"/>
            <w:r w:rsidRPr="00401287">
              <w:rPr>
                <w:rFonts w:asciiTheme="majorHAnsi" w:hAnsiTheme="majorHAnsi"/>
              </w:rPr>
              <w:t xml:space="preserve"> y les </w:t>
            </w:r>
            <w:proofErr w:type="spellStart"/>
            <w:r w:rsidRPr="00401287">
              <w:rPr>
                <w:rFonts w:asciiTheme="majorHAnsi" w:hAnsiTheme="majorHAnsi"/>
              </w:rPr>
              <w:t>niñes</w:t>
            </w:r>
            <w:proofErr w:type="spellEnd"/>
            <w:r w:rsidRPr="00401287">
              <w:rPr>
                <w:rFonts w:asciiTheme="majorHAnsi" w:hAnsiTheme="majorHAnsi"/>
              </w:rPr>
              <w:t xml:space="preserve"> desde un enfoque de género.                                                                                                                                                             La  violencia como problema de derechos humanos.  El marco normativo regional y nacional sobre salud y derechos de las mujeres.                                                                                                    Las violencias en distintos ámbitos. Las múltiples clasificaciones y enfoques de la violencia. Modelos explicativos.                                                                                                                           Las cifras de las violencias. Magnitud, sistemas de registro e información.                                                            Las experiencias de padecimiento y el peligro para la vida de las mujeres en situación </w:t>
            </w:r>
            <w:r w:rsidRPr="00401287">
              <w:rPr>
                <w:rFonts w:asciiTheme="majorHAnsi" w:hAnsiTheme="majorHAnsi"/>
              </w:rPr>
              <w:lastRenderedPageBreak/>
              <w:t xml:space="preserve">de violencia.                                                                                                                                        Crueldad y ensañamiento en los vínculos íntimos. Sus raíces históricas. El problema de la violencia sexual.                                                                                                                                </w:t>
            </w:r>
            <w:proofErr w:type="spellStart"/>
            <w:r w:rsidRPr="00401287">
              <w:rPr>
                <w:rFonts w:asciiTheme="majorHAnsi" w:hAnsiTheme="majorHAnsi"/>
              </w:rPr>
              <w:t>Femicidio</w:t>
            </w:r>
            <w:proofErr w:type="spellEnd"/>
            <w:r w:rsidRPr="00401287">
              <w:rPr>
                <w:rFonts w:asciiTheme="majorHAnsi" w:hAnsiTheme="majorHAnsi"/>
              </w:rPr>
              <w:t xml:space="preserve">, feminicidio y </w:t>
            </w:r>
            <w:proofErr w:type="spellStart"/>
            <w:proofErr w:type="gramStart"/>
            <w:r w:rsidRPr="00401287">
              <w:rPr>
                <w:rFonts w:asciiTheme="majorHAnsi" w:hAnsiTheme="majorHAnsi"/>
              </w:rPr>
              <w:t>femi</w:t>
            </w:r>
            <w:proofErr w:type="spellEnd"/>
            <w:r w:rsidRPr="00401287">
              <w:rPr>
                <w:rFonts w:asciiTheme="majorHAnsi" w:hAnsiTheme="majorHAnsi"/>
              </w:rPr>
              <w:t>(</w:t>
            </w:r>
            <w:proofErr w:type="spellStart"/>
            <w:proofErr w:type="gramEnd"/>
            <w:r w:rsidRPr="00401287">
              <w:rPr>
                <w:rFonts w:asciiTheme="majorHAnsi" w:hAnsiTheme="majorHAnsi"/>
              </w:rPr>
              <w:t>geno</w:t>
            </w:r>
            <w:proofErr w:type="spellEnd"/>
            <w:r w:rsidRPr="00401287">
              <w:rPr>
                <w:rFonts w:asciiTheme="majorHAnsi" w:hAnsiTheme="majorHAnsi"/>
              </w:rPr>
              <w:t>)</w:t>
            </w:r>
            <w:proofErr w:type="spellStart"/>
            <w:r w:rsidRPr="00401287">
              <w:rPr>
                <w:rFonts w:asciiTheme="majorHAnsi" w:hAnsiTheme="majorHAnsi"/>
              </w:rPr>
              <w:t>cidio</w:t>
            </w:r>
            <w:proofErr w:type="spellEnd"/>
            <w:r w:rsidRPr="00401287">
              <w:rPr>
                <w:rFonts w:asciiTheme="majorHAnsi" w:hAnsiTheme="majorHAnsi"/>
              </w:rPr>
              <w:t xml:space="preserve">. La magnitud y la medición del fenómeno a nivel local e internacional. Perspectivas críticas para la comprensión y abordaje del problema </w:t>
            </w:r>
            <w:proofErr w:type="spellStart"/>
            <w:r w:rsidRPr="00401287">
              <w:rPr>
                <w:rFonts w:asciiTheme="majorHAnsi" w:hAnsiTheme="majorHAnsi"/>
              </w:rPr>
              <w:t>Biopoder</w:t>
            </w:r>
            <w:proofErr w:type="spellEnd"/>
            <w:r w:rsidRPr="00401287">
              <w:rPr>
                <w:rFonts w:asciiTheme="majorHAnsi" w:hAnsiTheme="majorHAnsi"/>
              </w:rPr>
              <w:t xml:space="preserve"> y </w:t>
            </w:r>
            <w:proofErr w:type="spellStart"/>
            <w:r w:rsidRPr="00401287">
              <w:rPr>
                <w:rFonts w:asciiTheme="majorHAnsi" w:hAnsiTheme="majorHAnsi"/>
              </w:rPr>
              <w:t>Necropoder</w:t>
            </w:r>
            <w:proofErr w:type="spellEnd"/>
            <w:r w:rsidRPr="00401287">
              <w:rPr>
                <w:rFonts w:asciiTheme="majorHAnsi" w:hAnsiTheme="majorHAnsi"/>
              </w:rPr>
              <w:t xml:space="preserve">. Capitalismo Gore. Expresividad  y </w:t>
            </w:r>
            <w:proofErr w:type="spellStart"/>
            <w:r w:rsidRPr="00401287">
              <w:rPr>
                <w:rFonts w:asciiTheme="majorHAnsi" w:hAnsiTheme="majorHAnsi"/>
              </w:rPr>
              <w:t>espectacularización</w:t>
            </w:r>
            <w:proofErr w:type="spellEnd"/>
            <w:r w:rsidRPr="00401287">
              <w:rPr>
                <w:rFonts w:asciiTheme="majorHAnsi" w:hAnsiTheme="majorHAnsi"/>
              </w:rPr>
              <w:t xml:space="preserve"> de las violencias. Medios de comunicación, artes visuales y </w:t>
            </w:r>
            <w:r w:rsidRPr="00B97D82">
              <w:rPr>
                <w:rFonts w:asciiTheme="majorHAnsi" w:hAnsiTheme="majorHAnsi"/>
              </w:rPr>
              <w:t xml:space="preserve">literatura.  Violencia digital, resistencias y activismos digitales.                                                                                                                           Las trayectorias de las mujeres en situación de violencia. Las respuestas institucionales (de los servicios de salud, sistema de seguridad y justicia) y comunitarias frente a la violencia de género. Medicalización de la violencia. Relaciones entre servicios de salud y sistema de justicia. La racionalidad médico científico jurídica y la “producción de la prueba”.  </w:t>
            </w:r>
            <w:r w:rsidRPr="00B97D82">
              <w:t>Violencia vicaria en el contexto de la violencia de género.</w:t>
            </w:r>
          </w:p>
          <w:p w:rsidR="009F7D35" w:rsidRPr="00B97D82" w:rsidRDefault="009F7D35" w:rsidP="004450D7">
            <w:pPr>
              <w:rPr>
                <w:rFonts w:asciiTheme="majorHAnsi" w:hAnsiTheme="majorHAnsi"/>
              </w:rPr>
            </w:pPr>
            <w:r w:rsidRPr="00B97D82">
              <w:rPr>
                <w:rFonts w:asciiTheme="majorHAnsi" w:hAnsiTheme="majorHAnsi"/>
              </w:rPr>
              <w:t xml:space="preserve">Violencias situadas: Violencias y Diversidad funcional y corporal. Violencias </w:t>
            </w:r>
            <w:r>
              <w:rPr>
                <w:rFonts w:asciiTheme="majorHAnsi" w:hAnsiTheme="majorHAnsi"/>
              </w:rPr>
              <w:t>en contextos de e</w:t>
            </w:r>
            <w:r w:rsidRPr="00B97D82">
              <w:rPr>
                <w:rFonts w:asciiTheme="majorHAnsi" w:hAnsiTheme="majorHAnsi"/>
              </w:rPr>
              <w:t xml:space="preserve">ncierro.  </w:t>
            </w:r>
            <w:r>
              <w:rPr>
                <w:rFonts w:asciiTheme="majorHAnsi" w:hAnsiTheme="majorHAnsi"/>
              </w:rPr>
              <w:t>Violen</w:t>
            </w:r>
            <w:r w:rsidRPr="00B97D82">
              <w:rPr>
                <w:rFonts w:asciiTheme="majorHAnsi" w:hAnsiTheme="majorHAnsi"/>
              </w:rPr>
              <w:t>cia</w:t>
            </w:r>
            <w:r>
              <w:rPr>
                <w:rFonts w:asciiTheme="majorHAnsi" w:hAnsiTheme="majorHAnsi"/>
              </w:rPr>
              <w:t>s</w:t>
            </w:r>
            <w:r w:rsidRPr="00B97D82">
              <w:rPr>
                <w:rFonts w:asciiTheme="majorHAnsi" w:hAnsiTheme="majorHAnsi"/>
              </w:rPr>
              <w:t xml:space="preserve">  </w:t>
            </w:r>
            <w:r>
              <w:rPr>
                <w:rFonts w:asciiTheme="majorHAnsi" w:hAnsiTheme="majorHAnsi"/>
              </w:rPr>
              <w:t>en contextos migratorios</w:t>
            </w:r>
            <w:r w:rsidRPr="00B97D82">
              <w:rPr>
                <w:rFonts w:asciiTheme="majorHAnsi" w:hAnsiTheme="majorHAnsi"/>
              </w:rPr>
              <w:t xml:space="preserve">. </w:t>
            </w:r>
          </w:p>
          <w:p w:rsidR="009F7D35" w:rsidRPr="00401287" w:rsidRDefault="009F7D35" w:rsidP="004450D7">
            <w:pPr>
              <w:rPr>
                <w:rFonts w:asciiTheme="majorHAnsi" w:hAnsiTheme="majorHAnsi"/>
              </w:rPr>
            </w:pPr>
            <w:r w:rsidRPr="00401287">
              <w:rPr>
                <w:rFonts w:asciiTheme="majorHAnsi" w:hAnsiTheme="majorHAnsi"/>
              </w:rPr>
              <w:t xml:space="preserve">Los feminismos y la noción de </w:t>
            </w:r>
            <w:proofErr w:type="spellStart"/>
            <w:r w:rsidRPr="00401287">
              <w:rPr>
                <w:rFonts w:asciiTheme="majorHAnsi" w:hAnsiTheme="majorHAnsi"/>
              </w:rPr>
              <w:t>interseccionalidad</w:t>
            </w:r>
            <w:proofErr w:type="spellEnd"/>
            <w:r w:rsidRPr="00401287">
              <w:rPr>
                <w:rFonts w:asciiTheme="majorHAnsi" w:hAnsiTheme="majorHAnsi"/>
              </w:rPr>
              <w:t xml:space="preserve">. La perspectiva </w:t>
            </w:r>
            <w:proofErr w:type="spellStart"/>
            <w:r w:rsidRPr="00401287">
              <w:rPr>
                <w:rFonts w:asciiTheme="majorHAnsi" w:hAnsiTheme="majorHAnsi"/>
              </w:rPr>
              <w:t>interseccional</w:t>
            </w:r>
            <w:proofErr w:type="spellEnd"/>
            <w:r w:rsidRPr="00401287">
              <w:rPr>
                <w:rFonts w:asciiTheme="majorHAnsi" w:hAnsiTheme="majorHAnsi"/>
              </w:rPr>
              <w:t xml:space="preserve"> </w:t>
            </w:r>
            <w:r>
              <w:rPr>
                <w:rFonts w:asciiTheme="majorHAnsi" w:hAnsiTheme="majorHAnsi"/>
              </w:rPr>
              <w:t xml:space="preserve">como estrategia de análisis e </w:t>
            </w:r>
            <w:r w:rsidRPr="00401287">
              <w:rPr>
                <w:rFonts w:asciiTheme="majorHAnsi" w:hAnsiTheme="majorHAnsi"/>
              </w:rPr>
              <w:t>intervención en el campo de las violencias.                                                                                                El papel de los servicios de salud en la reproducción de las violencias hacia a las mujeres y la</w:t>
            </w:r>
            <w:r>
              <w:rPr>
                <w:rFonts w:asciiTheme="majorHAnsi" w:hAnsiTheme="majorHAnsi"/>
              </w:rPr>
              <w:t>s personas LGBTIQ+</w:t>
            </w:r>
            <w:r w:rsidRPr="00401287">
              <w:rPr>
                <w:rFonts w:asciiTheme="majorHAnsi" w:hAnsiTheme="majorHAnsi"/>
              </w:rPr>
              <w:t xml:space="preserve">. Promoción de derechos en los servicios de  salud.  </w:t>
            </w:r>
            <w:r>
              <w:rPr>
                <w:rFonts w:asciiTheme="majorHAnsi" w:hAnsiTheme="majorHAnsi"/>
              </w:rPr>
              <w:t xml:space="preserve">                                          </w:t>
            </w:r>
            <w:proofErr w:type="spellStart"/>
            <w:r w:rsidRPr="00401287">
              <w:rPr>
                <w:rFonts w:asciiTheme="majorHAnsi" w:hAnsiTheme="majorHAnsi"/>
              </w:rPr>
              <w:t>Interdisciplina</w:t>
            </w:r>
            <w:proofErr w:type="spellEnd"/>
            <w:r w:rsidRPr="00401287">
              <w:rPr>
                <w:rFonts w:asciiTheme="majorHAnsi" w:hAnsiTheme="majorHAnsi"/>
              </w:rPr>
              <w:t xml:space="preserve"> e </w:t>
            </w:r>
            <w:proofErr w:type="spellStart"/>
            <w:r w:rsidRPr="00401287">
              <w:rPr>
                <w:rFonts w:asciiTheme="majorHAnsi" w:hAnsiTheme="majorHAnsi"/>
              </w:rPr>
              <w:t>intersectorialidad</w:t>
            </w:r>
            <w:proofErr w:type="spellEnd"/>
            <w:r w:rsidRPr="00401287">
              <w:rPr>
                <w:rFonts w:asciiTheme="majorHAnsi" w:hAnsiTheme="majorHAnsi"/>
              </w:rPr>
              <w:t>: desafíos en el circuito asistencial y de cuidados.</w:t>
            </w:r>
            <w:r>
              <w:rPr>
                <w:rFonts w:asciiTheme="majorHAnsi" w:hAnsiTheme="majorHAnsi"/>
              </w:rPr>
              <w:t xml:space="preserve">           </w:t>
            </w:r>
            <w:proofErr w:type="spellStart"/>
            <w:r w:rsidRPr="00401287">
              <w:rPr>
                <w:rFonts w:asciiTheme="majorHAnsi" w:hAnsiTheme="majorHAnsi"/>
              </w:rPr>
              <w:t>Visibilización</w:t>
            </w:r>
            <w:proofErr w:type="spellEnd"/>
            <w:r w:rsidRPr="00401287">
              <w:rPr>
                <w:rFonts w:asciiTheme="majorHAnsi" w:hAnsiTheme="majorHAnsi"/>
              </w:rPr>
              <w:t xml:space="preserve"> de la violencia de género en los servicios de salud (sensibilización y aplicación de la perspectiva de género en los sistemas de detección, atención, registro e información). Evaluación de riesgos y  protocolos de actuación. Modelos de abordaje a nivel individual y grupal. Redes vinculares y dispositivos  grupales para enfrentar la violencia de género.</w:t>
            </w:r>
          </w:p>
          <w:p w:rsidR="009F7D35" w:rsidRDefault="009F7D35" w:rsidP="004450D7">
            <w:r w:rsidRPr="00A67B4A">
              <w:rPr>
                <w:rFonts w:asciiTheme="majorHAnsi" w:hAnsiTheme="majorHAnsi"/>
                <w:u w:val="single"/>
              </w:rPr>
              <w:t xml:space="preserve">Metodología:                                                                                                                                                     </w:t>
            </w:r>
            <w:r w:rsidRPr="00401287">
              <w:rPr>
                <w:rFonts w:asciiTheme="majorHAnsi" w:eastAsia="Times New Roman" w:hAnsiTheme="majorHAnsi" w:cs="Times New Roman"/>
              </w:rPr>
              <w:t xml:space="preserve">Respecto a la metodología de los encuentros, los mismos se desarrollarán en su totalidad en formato virtual, combinando instancias sincrónicas y asincrónicas. Las docentes realizarán exposiciones teóricas, acompañadas de recursos audiovisuales que buscarán propiciar el intercambio. Se propondrán trabajos prácticos grupales que se resolverán en los encuentros sincrónicos con metodología de taller. Asimismo, se propondrán actividades asincrónicas en el campus, utilizando herramientas como foros de debate, muros y cuestionarios. </w:t>
            </w:r>
            <w:proofErr w:type="spellStart"/>
            <w:r w:rsidRPr="00401287">
              <w:rPr>
                <w:rFonts w:asciiTheme="majorHAnsi" w:eastAsia="Times New Roman" w:hAnsiTheme="majorHAnsi" w:cs="Times New Roman"/>
              </w:rPr>
              <w:t>Lxs</w:t>
            </w:r>
            <w:proofErr w:type="spellEnd"/>
            <w:r w:rsidRPr="00401287">
              <w:rPr>
                <w:rFonts w:asciiTheme="majorHAnsi" w:eastAsia="Times New Roman" w:hAnsiTheme="majorHAnsi" w:cs="Times New Roman"/>
              </w:rPr>
              <w:t xml:space="preserve"> cursantes participarán activamente durante los encuentros, aportando sus saberes y experiencias, así como reflexiones surgidas de la lectura de la bibliografía recomendada. La bibliografía se encuentra organizada por clases y temas y se facilitará a </w:t>
            </w:r>
            <w:proofErr w:type="spellStart"/>
            <w:r w:rsidRPr="00401287">
              <w:rPr>
                <w:rFonts w:asciiTheme="majorHAnsi" w:eastAsia="Times New Roman" w:hAnsiTheme="majorHAnsi" w:cs="Times New Roman"/>
              </w:rPr>
              <w:t>lxs</w:t>
            </w:r>
            <w:proofErr w:type="spellEnd"/>
            <w:r w:rsidRPr="00401287">
              <w:rPr>
                <w:rFonts w:asciiTheme="majorHAnsi" w:eastAsia="Times New Roman" w:hAnsiTheme="majorHAnsi" w:cs="Times New Roman"/>
              </w:rPr>
              <w:t xml:space="preserve"> participantes en formato digital y previo a cada encuentro.</w:t>
            </w:r>
          </w:p>
        </w:tc>
      </w:tr>
    </w:tbl>
    <w:p w:rsidR="009F7D35" w:rsidRDefault="009F7D35" w:rsidP="009F7D35">
      <w:pPr>
        <w:pStyle w:val="Ttulo1"/>
        <w:rPr>
          <w:sz w:val="36"/>
          <w:szCs w:val="36"/>
        </w:rPr>
      </w:pPr>
      <w:bookmarkStart w:id="6" w:name="_heading=h.3dy6vkm" w:colFirst="0" w:colLast="0"/>
      <w:bookmarkEnd w:id="6"/>
      <w:r>
        <w:rPr>
          <w:sz w:val="36"/>
          <w:szCs w:val="36"/>
        </w:rPr>
        <w:lastRenderedPageBreak/>
        <w:t>6. BIBLIOGRAFÍA</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 xml:space="preserve">Butler J. El género en cuestión. Barcelona: Paidós (1990); 2007. </w:t>
            </w:r>
          </w:p>
          <w:p w:rsidR="009F7D35" w:rsidRDefault="009F7D35" w:rsidP="004450D7">
            <w:pPr>
              <w:rPr>
                <w:rFonts w:asciiTheme="majorHAnsi" w:hAnsiTheme="majorHAnsi" w:cstheme="majorHAnsi"/>
              </w:rPr>
            </w:pPr>
            <w:r w:rsidRPr="00D315DA">
              <w:rPr>
                <w:rFonts w:asciiTheme="majorHAnsi" w:hAnsiTheme="majorHAnsi" w:cstheme="majorHAnsi"/>
              </w:rPr>
              <w:t xml:space="preserve">Castro, R. /Suárez, H. (coordinadores). Pierre Bourdieu en la sociología latinoamericana: el uso de campo y </w:t>
            </w:r>
            <w:proofErr w:type="spellStart"/>
            <w:r w:rsidRPr="00D315DA">
              <w:rPr>
                <w:rFonts w:asciiTheme="majorHAnsi" w:hAnsiTheme="majorHAnsi" w:cstheme="majorHAnsi"/>
              </w:rPr>
              <w:t>habitus</w:t>
            </w:r>
            <w:proofErr w:type="spellEnd"/>
            <w:r w:rsidRPr="00D315DA">
              <w:rPr>
                <w:rFonts w:asciiTheme="majorHAnsi" w:hAnsiTheme="majorHAnsi" w:cstheme="majorHAnsi"/>
              </w:rPr>
              <w:t xml:space="preserve"> en la investigación Cuernavaca, Morelos: Universidad Nacional Autónoma de México, 2018</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color w:val="000000"/>
              </w:rPr>
              <w:lastRenderedPageBreak/>
              <w:t>Cyment</w:t>
            </w:r>
            <w:proofErr w:type="spellEnd"/>
            <w:r w:rsidRPr="00D315DA">
              <w:rPr>
                <w:rFonts w:asciiTheme="majorHAnsi" w:hAnsiTheme="majorHAnsi" w:cstheme="majorHAnsi"/>
                <w:color w:val="000000"/>
              </w:rPr>
              <w:t xml:space="preserve"> P. y Pombo MG (2018)</w:t>
            </w:r>
            <w:r>
              <w:rPr>
                <w:rFonts w:asciiTheme="majorHAnsi" w:hAnsiTheme="majorHAnsi" w:cstheme="majorHAnsi"/>
                <w:color w:val="000000"/>
              </w:rPr>
              <w:t xml:space="preserve"> </w:t>
            </w:r>
            <w:r w:rsidRPr="00D315DA">
              <w:rPr>
                <w:rFonts w:asciiTheme="majorHAnsi" w:hAnsiTheme="majorHAnsi" w:cstheme="majorHAnsi"/>
                <w:color w:val="000000"/>
              </w:rPr>
              <w:t xml:space="preserve">“El acceso a la justicia de las mujeres migrantes que atraviesan situaciones de violencia doméstica en la zona sur del Conurbano Bonaerense”. En “Cerrando brechas para erradicar la violencia contra las mujeres: aportes para fortalecer una agenda integral para la igualdad de género / Natalia </w:t>
            </w:r>
            <w:proofErr w:type="spellStart"/>
            <w:r w:rsidRPr="00D315DA">
              <w:rPr>
                <w:rFonts w:asciiTheme="majorHAnsi" w:hAnsiTheme="majorHAnsi" w:cstheme="majorHAnsi"/>
                <w:color w:val="000000"/>
              </w:rPr>
              <w:t>Gherardi</w:t>
            </w:r>
            <w:proofErr w:type="spellEnd"/>
            <w:r w:rsidRPr="00D315DA">
              <w:rPr>
                <w:rFonts w:asciiTheme="majorHAnsi" w:hAnsiTheme="majorHAnsi" w:cstheme="majorHAnsi"/>
                <w:color w:val="000000"/>
              </w:rPr>
              <w:t xml:space="preserve"> (Coordinadora) – 1a. Ed. Buenos Aires. ELA; 2018. </w:t>
            </w:r>
          </w:p>
          <w:p w:rsidR="009F7D35" w:rsidRPr="00D315DA" w:rsidRDefault="009F7D35" w:rsidP="004450D7">
            <w:pPr>
              <w:rPr>
                <w:rFonts w:asciiTheme="majorHAnsi" w:hAnsiTheme="majorHAnsi" w:cstheme="majorHAnsi"/>
              </w:rPr>
            </w:pPr>
          </w:p>
          <w:p w:rsidR="009F7D35" w:rsidRPr="00D315DA" w:rsidRDefault="009F7D35" w:rsidP="004450D7">
            <w:pPr>
              <w:rPr>
                <w:rFonts w:asciiTheme="majorHAnsi" w:hAnsiTheme="majorHAnsi" w:cstheme="majorHAnsi"/>
                <w:color w:val="333333"/>
                <w:shd w:val="clear" w:color="auto" w:fill="F7F7F7"/>
              </w:rPr>
            </w:pPr>
            <w:proofErr w:type="spellStart"/>
            <w:r w:rsidRPr="00D315DA">
              <w:rPr>
                <w:rFonts w:asciiTheme="majorHAnsi" w:hAnsiTheme="majorHAnsi" w:cstheme="majorHAnsi"/>
                <w:color w:val="333333"/>
                <w:shd w:val="clear" w:color="auto" w:fill="F7F7F7"/>
              </w:rPr>
              <w:t>Colanzi</w:t>
            </w:r>
            <w:proofErr w:type="spellEnd"/>
            <w:r w:rsidRPr="00D315DA">
              <w:rPr>
                <w:rFonts w:asciiTheme="majorHAnsi" w:hAnsiTheme="majorHAnsi" w:cstheme="majorHAnsi"/>
                <w:color w:val="333333"/>
                <w:shd w:val="clear" w:color="auto" w:fill="F7F7F7"/>
              </w:rPr>
              <w:t xml:space="preserve">, I. (2018). Hacedoras de memorias: testimonios de mujeres privadas de libertad en las </w:t>
            </w:r>
            <w:proofErr w:type="spellStart"/>
            <w:r w:rsidRPr="00D315DA">
              <w:rPr>
                <w:rFonts w:asciiTheme="majorHAnsi" w:hAnsiTheme="majorHAnsi" w:cstheme="majorHAnsi"/>
                <w:color w:val="333333"/>
                <w:shd w:val="clear" w:color="auto" w:fill="F7F7F7"/>
              </w:rPr>
              <w:t>tramasdel</w:t>
            </w:r>
            <w:proofErr w:type="spellEnd"/>
            <w:r w:rsidRPr="00D315DA">
              <w:rPr>
                <w:rFonts w:asciiTheme="majorHAnsi" w:hAnsiTheme="majorHAnsi" w:cstheme="majorHAnsi"/>
                <w:color w:val="333333"/>
                <w:shd w:val="clear" w:color="auto" w:fill="F7F7F7"/>
              </w:rPr>
              <w:t xml:space="preserve"> poder punitivo (2012-2016). Tesis de posgrado. Universidad Nacional de La Plata. Facultad de Humanidades y Ciencias de la Educación. En http://www.memoria.fahce.unlp.edu.ar/tesis/te.1595/te.1595.pdf</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color w:val="333333"/>
                <w:shd w:val="clear" w:color="auto" w:fill="F7F7F7"/>
              </w:rPr>
              <w:t>D'Antonio</w:t>
            </w:r>
            <w:proofErr w:type="spellEnd"/>
            <w:r w:rsidRPr="00D315DA">
              <w:rPr>
                <w:rFonts w:asciiTheme="majorHAnsi" w:hAnsiTheme="majorHAnsi" w:cstheme="majorHAnsi"/>
                <w:color w:val="333333"/>
                <w:shd w:val="clear" w:color="auto" w:fill="F7F7F7"/>
              </w:rPr>
              <w:t xml:space="preserve">  D. (</w:t>
            </w:r>
            <w:proofErr w:type="spellStart"/>
            <w:r w:rsidRPr="00D315DA">
              <w:rPr>
                <w:rFonts w:asciiTheme="majorHAnsi" w:hAnsiTheme="majorHAnsi" w:cstheme="majorHAnsi"/>
                <w:color w:val="333333"/>
                <w:shd w:val="clear" w:color="auto" w:fill="F7F7F7"/>
              </w:rPr>
              <w:t>comp.</w:t>
            </w:r>
            <w:proofErr w:type="spellEnd"/>
            <w:r w:rsidRPr="00D315DA">
              <w:rPr>
                <w:rFonts w:asciiTheme="majorHAnsi" w:hAnsiTheme="majorHAnsi" w:cstheme="majorHAnsi"/>
                <w:color w:val="333333"/>
                <w:shd w:val="clear" w:color="auto" w:fill="F7F7F7"/>
              </w:rPr>
              <w:t>) Deseo y represión. Sexualidad, género y Estado en la historia argentina reciente.</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Deslandes</w:t>
            </w:r>
            <w:proofErr w:type="spellEnd"/>
            <w:r w:rsidRPr="00D315DA">
              <w:rPr>
                <w:rFonts w:asciiTheme="majorHAnsi" w:hAnsiTheme="majorHAnsi" w:cstheme="majorHAnsi"/>
                <w:color w:val="000000"/>
              </w:rPr>
              <w:t xml:space="preserve"> S. (2000) Violencia no cotidiano dos servicios de emergencia </w:t>
            </w:r>
            <w:proofErr w:type="spellStart"/>
            <w:r w:rsidRPr="00D315DA">
              <w:rPr>
                <w:rFonts w:asciiTheme="majorHAnsi" w:hAnsiTheme="majorHAnsi" w:cstheme="majorHAnsi"/>
                <w:color w:val="000000"/>
              </w:rPr>
              <w:t>hospitalar</w:t>
            </w:r>
            <w:proofErr w:type="spellEnd"/>
            <w:r w:rsidRPr="00D315DA">
              <w:rPr>
                <w:rFonts w:asciiTheme="majorHAnsi" w:hAnsiTheme="majorHAnsi" w:cstheme="majorHAnsi"/>
                <w:color w:val="000000"/>
              </w:rPr>
              <w:t>:</w:t>
            </w:r>
          </w:p>
          <w:p w:rsidR="009F7D35" w:rsidRPr="00D315DA" w:rsidRDefault="009F7D35" w:rsidP="004450D7">
            <w:pPr>
              <w:rPr>
                <w:rFonts w:asciiTheme="majorHAnsi" w:hAnsiTheme="majorHAnsi" w:cstheme="majorHAnsi"/>
                <w:color w:val="000000"/>
              </w:rPr>
            </w:pPr>
            <w:proofErr w:type="spellStart"/>
            <w:proofErr w:type="gramStart"/>
            <w:r w:rsidRPr="00D315DA">
              <w:rPr>
                <w:rFonts w:asciiTheme="majorHAnsi" w:hAnsiTheme="majorHAnsi" w:cstheme="majorHAnsi"/>
                <w:color w:val="000000"/>
              </w:rPr>
              <w:t>representaçoes</w:t>
            </w:r>
            <w:proofErr w:type="spellEnd"/>
            <w:proofErr w:type="gramEnd"/>
            <w:r w:rsidRPr="00D315DA">
              <w:rPr>
                <w:rFonts w:asciiTheme="majorHAnsi" w:hAnsiTheme="majorHAnsi" w:cstheme="majorHAnsi"/>
                <w:color w:val="000000"/>
              </w:rPr>
              <w:t xml:space="preserve">, </w:t>
            </w:r>
            <w:proofErr w:type="spellStart"/>
            <w:r w:rsidRPr="00D315DA">
              <w:rPr>
                <w:rFonts w:asciiTheme="majorHAnsi" w:hAnsiTheme="majorHAnsi" w:cstheme="majorHAnsi"/>
                <w:color w:val="000000"/>
              </w:rPr>
              <w:t>práticas</w:t>
            </w:r>
            <w:proofErr w:type="spellEnd"/>
            <w:r w:rsidRPr="00D315DA">
              <w:rPr>
                <w:rFonts w:asciiTheme="majorHAnsi" w:hAnsiTheme="majorHAnsi" w:cstheme="majorHAnsi"/>
                <w:color w:val="000000"/>
              </w:rPr>
              <w:t xml:space="preserve">, </w:t>
            </w:r>
            <w:proofErr w:type="spellStart"/>
            <w:r w:rsidRPr="00D315DA">
              <w:rPr>
                <w:rFonts w:asciiTheme="majorHAnsi" w:hAnsiTheme="majorHAnsi" w:cstheme="majorHAnsi"/>
                <w:color w:val="000000"/>
              </w:rPr>
              <w:t>interaçoes</w:t>
            </w:r>
            <w:proofErr w:type="spellEnd"/>
            <w:r w:rsidRPr="00D315DA">
              <w:rPr>
                <w:rFonts w:asciiTheme="majorHAnsi" w:hAnsiTheme="majorHAnsi" w:cstheme="majorHAnsi"/>
                <w:color w:val="000000"/>
              </w:rPr>
              <w:t xml:space="preserve"> e desafíos. Tesis de doctorado en Salud Pública Escuela</w:t>
            </w:r>
          </w:p>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Nacional de Salud Pública Osvaldo Cruz, Río de Janeiro.</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rPr>
              <w:t>Despentes</w:t>
            </w:r>
            <w:proofErr w:type="spellEnd"/>
            <w:r w:rsidRPr="00D315DA">
              <w:rPr>
                <w:rFonts w:asciiTheme="majorHAnsi" w:hAnsiTheme="majorHAnsi" w:cstheme="majorHAnsi"/>
              </w:rPr>
              <w:t>, V.</w:t>
            </w:r>
            <w:r w:rsidRPr="00D315DA">
              <w:rPr>
                <w:rFonts w:asciiTheme="majorHAnsi" w:hAnsiTheme="majorHAnsi" w:cstheme="majorHAnsi"/>
                <w:color w:val="000000"/>
              </w:rPr>
              <w:t xml:space="preserve"> (2018) </w:t>
            </w:r>
            <w:r w:rsidRPr="00D315DA">
              <w:rPr>
                <w:rFonts w:asciiTheme="majorHAnsi" w:hAnsiTheme="majorHAnsi" w:cstheme="majorHAnsi"/>
              </w:rPr>
              <w:t xml:space="preserve"> Teoría King Kong. Buenos Aires. Literatura </w:t>
            </w:r>
            <w:proofErr w:type="spellStart"/>
            <w:r w:rsidRPr="00D315DA">
              <w:rPr>
                <w:rFonts w:asciiTheme="majorHAnsi" w:hAnsiTheme="majorHAnsi" w:cstheme="majorHAnsi"/>
              </w:rPr>
              <w:t>Random</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rPr>
              <w:t>House</w:t>
            </w:r>
            <w:proofErr w:type="spellEnd"/>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rPr>
              <w:t>Federici</w:t>
            </w:r>
            <w:proofErr w:type="spellEnd"/>
            <w:r w:rsidRPr="00D315DA">
              <w:rPr>
                <w:rFonts w:asciiTheme="majorHAnsi" w:hAnsiTheme="majorHAnsi" w:cstheme="majorHAnsi"/>
              </w:rPr>
              <w:t xml:space="preserve">, S. </w:t>
            </w:r>
            <w:r w:rsidRPr="00D315DA">
              <w:rPr>
                <w:rFonts w:asciiTheme="majorHAnsi" w:hAnsiTheme="majorHAnsi" w:cstheme="majorHAnsi"/>
                <w:color w:val="000000"/>
              </w:rPr>
              <w:t xml:space="preserve">(2015) </w:t>
            </w:r>
            <w:r w:rsidRPr="00D315DA">
              <w:rPr>
                <w:rFonts w:asciiTheme="majorHAnsi" w:hAnsiTheme="majorHAnsi" w:cstheme="majorHAnsi"/>
              </w:rPr>
              <w:t>El Calibán y la Bruja. Buenos Aires. Tinta Limón.</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rPr>
              <w:t>Gherardi</w:t>
            </w:r>
            <w:proofErr w:type="spellEnd"/>
            <w:r w:rsidRPr="00D315DA">
              <w:rPr>
                <w:rFonts w:asciiTheme="majorHAnsi" w:hAnsiTheme="majorHAnsi" w:cstheme="majorHAnsi"/>
              </w:rPr>
              <w:t xml:space="preserve">, N., </w:t>
            </w:r>
            <w:proofErr w:type="spellStart"/>
            <w:r w:rsidRPr="00D315DA">
              <w:rPr>
                <w:rFonts w:asciiTheme="majorHAnsi" w:hAnsiTheme="majorHAnsi" w:cstheme="majorHAnsi"/>
              </w:rPr>
              <w:t>Gebruers</w:t>
            </w:r>
            <w:proofErr w:type="spellEnd"/>
            <w:r w:rsidRPr="00D315DA">
              <w:rPr>
                <w:rFonts w:asciiTheme="majorHAnsi" w:hAnsiTheme="majorHAnsi" w:cstheme="majorHAnsi"/>
              </w:rPr>
              <w:t xml:space="preserve">, C., </w:t>
            </w:r>
            <w:proofErr w:type="spellStart"/>
            <w:r w:rsidRPr="00D315DA">
              <w:rPr>
                <w:rFonts w:asciiTheme="majorHAnsi" w:hAnsiTheme="majorHAnsi" w:cstheme="majorHAnsi"/>
              </w:rPr>
              <w:t>Teodori</w:t>
            </w:r>
            <w:proofErr w:type="spellEnd"/>
            <w:r w:rsidRPr="00D315DA">
              <w:rPr>
                <w:rFonts w:asciiTheme="majorHAnsi" w:hAnsiTheme="majorHAnsi" w:cstheme="majorHAnsi"/>
              </w:rPr>
              <w:t xml:space="preserve">, C y </w:t>
            </w:r>
            <w:proofErr w:type="spellStart"/>
            <w:r w:rsidRPr="00D315DA">
              <w:rPr>
                <w:rFonts w:asciiTheme="majorHAnsi" w:hAnsiTheme="majorHAnsi" w:cstheme="majorHAnsi"/>
              </w:rPr>
              <w:t>Camarotta</w:t>
            </w:r>
            <w:proofErr w:type="spellEnd"/>
            <w:r w:rsidRPr="00D315DA">
              <w:rPr>
                <w:rFonts w:asciiTheme="majorHAnsi" w:hAnsiTheme="majorHAnsi" w:cstheme="majorHAnsi"/>
              </w:rPr>
              <w:t>, K.</w:t>
            </w:r>
            <w:r w:rsidRPr="00D315DA">
              <w:rPr>
                <w:rFonts w:asciiTheme="majorHAnsi" w:hAnsiTheme="majorHAnsi" w:cstheme="majorHAnsi"/>
                <w:color w:val="000000"/>
              </w:rPr>
              <w:t xml:space="preserve"> (2015) </w:t>
            </w:r>
            <w:r w:rsidRPr="00D315DA">
              <w:rPr>
                <w:rFonts w:asciiTheme="majorHAnsi" w:hAnsiTheme="majorHAnsi" w:cstheme="majorHAnsi"/>
              </w:rPr>
              <w:t xml:space="preserve"> Derecho al aborto y violencia sexual en las relaciones intrafamiliares. Una aproximación a la aplicación de la causal violación en los servicios de salud del área metropolitana de Buenos Aires. Doc. REDAAS Nª3</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rPr>
              <w:t>Hanash</w:t>
            </w:r>
            <w:proofErr w:type="spellEnd"/>
            <w:r w:rsidRPr="00D315DA">
              <w:rPr>
                <w:rFonts w:asciiTheme="majorHAnsi" w:hAnsiTheme="majorHAnsi" w:cstheme="majorHAnsi"/>
              </w:rPr>
              <w:t xml:space="preserve"> Martínez, M. (2020). La </w:t>
            </w:r>
            <w:proofErr w:type="spellStart"/>
            <w:r w:rsidRPr="00D315DA">
              <w:rPr>
                <w:rFonts w:asciiTheme="majorHAnsi" w:hAnsiTheme="majorHAnsi" w:cstheme="majorHAnsi"/>
              </w:rPr>
              <w:t>ciberresistencia</w:t>
            </w:r>
            <w:proofErr w:type="spellEnd"/>
            <w:r w:rsidRPr="00D315DA">
              <w:rPr>
                <w:rFonts w:asciiTheme="majorHAnsi" w:hAnsiTheme="majorHAnsi" w:cstheme="majorHAnsi"/>
              </w:rPr>
              <w:t xml:space="preserve"> feminista a la violencia digital: sobreviviendo al </w:t>
            </w:r>
            <w:proofErr w:type="spellStart"/>
            <w:r w:rsidRPr="00D315DA">
              <w:rPr>
                <w:rFonts w:asciiTheme="majorHAnsi" w:hAnsiTheme="majorHAnsi" w:cstheme="majorHAnsi"/>
              </w:rPr>
              <w:t>Gamergat</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rPr>
              <w:t>Debats</w:t>
            </w:r>
            <w:proofErr w:type="spellEnd"/>
            <w:r w:rsidRPr="00D315DA">
              <w:rPr>
                <w:rFonts w:asciiTheme="majorHAnsi" w:hAnsiTheme="majorHAnsi" w:cstheme="majorHAnsi"/>
              </w:rPr>
              <w:t xml:space="preserve">. Revista de cultura, poder y sociedad, 134(2), 89-106. DOI: http://doi.org/10.28939/iam.debats.134-2.7 </w:t>
            </w:r>
          </w:p>
          <w:p w:rsidR="009F7D35" w:rsidRPr="00D315DA" w:rsidRDefault="009F7D35" w:rsidP="004450D7">
            <w:pPr>
              <w:rPr>
                <w:rFonts w:asciiTheme="majorHAnsi" w:hAnsiTheme="majorHAnsi" w:cstheme="majorHAnsi"/>
                <w:color w:val="0000FF"/>
              </w:rPr>
            </w:pPr>
            <w:r w:rsidRPr="00D315DA">
              <w:rPr>
                <w:rFonts w:asciiTheme="majorHAnsi" w:hAnsiTheme="majorHAnsi" w:cstheme="majorHAnsi"/>
              </w:rPr>
              <w:t xml:space="preserve">Lamas, M. (2006) La </w:t>
            </w:r>
            <w:r w:rsidRPr="00D315DA">
              <w:rPr>
                <w:rFonts w:asciiTheme="majorHAnsi" w:hAnsiTheme="majorHAnsi" w:cstheme="majorHAnsi"/>
                <w:color w:val="000000"/>
              </w:rPr>
              <w:t xml:space="preserve">Perspectiva de Género disponible en </w:t>
            </w:r>
            <w:r w:rsidRPr="00D315DA">
              <w:rPr>
                <w:rFonts w:asciiTheme="majorHAnsi" w:hAnsiTheme="majorHAnsi" w:cstheme="majorHAnsi"/>
                <w:color w:val="0000FF"/>
              </w:rPr>
              <w:t>www.sepbcs.gob.mx</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Mejia</w:t>
            </w:r>
            <w:proofErr w:type="spellEnd"/>
            <w:r w:rsidRPr="00D315DA">
              <w:rPr>
                <w:rFonts w:asciiTheme="majorHAnsi" w:hAnsiTheme="majorHAnsi" w:cstheme="majorHAnsi"/>
                <w:color w:val="000000"/>
              </w:rPr>
              <w:t xml:space="preserve"> R, Alemán M, Fernández A, Pérez </w:t>
            </w:r>
            <w:proofErr w:type="spellStart"/>
            <w:r w:rsidRPr="00D315DA">
              <w:rPr>
                <w:rFonts w:asciiTheme="majorHAnsi" w:hAnsiTheme="majorHAnsi" w:cstheme="majorHAnsi"/>
                <w:color w:val="000000"/>
              </w:rPr>
              <w:t>Stable</w:t>
            </w:r>
            <w:proofErr w:type="spellEnd"/>
            <w:r w:rsidRPr="00D315DA">
              <w:rPr>
                <w:rFonts w:asciiTheme="majorHAnsi" w:hAnsiTheme="majorHAnsi" w:cstheme="majorHAnsi"/>
                <w:color w:val="000000"/>
              </w:rPr>
              <w:t xml:space="preserve"> EJ. Conocimiento y detección de violencia</w:t>
            </w:r>
          </w:p>
          <w:p w:rsidR="009F7D35" w:rsidRPr="00D315DA" w:rsidRDefault="009F7D35" w:rsidP="004450D7">
            <w:pPr>
              <w:rPr>
                <w:rFonts w:asciiTheme="majorHAnsi" w:hAnsiTheme="majorHAnsi" w:cstheme="majorHAnsi"/>
                <w:color w:val="000000"/>
              </w:rPr>
            </w:pPr>
            <w:proofErr w:type="gramStart"/>
            <w:r w:rsidRPr="00D315DA">
              <w:rPr>
                <w:rFonts w:asciiTheme="majorHAnsi" w:hAnsiTheme="majorHAnsi" w:cstheme="majorHAnsi"/>
                <w:color w:val="000000"/>
              </w:rPr>
              <w:t>doméstica</w:t>
            </w:r>
            <w:proofErr w:type="gramEnd"/>
            <w:r w:rsidRPr="00D315DA">
              <w:rPr>
                <w:rFonts w:asciiTheme="majorHAnsi" w:hAnsiTheme="majorHAnsi" w:cstheme="majorHAnsi"/>
                <w:color w:val="000000"/>
              </w:rPr>
              <w:t xml:space="preserve"> por los médicos clínicos. </w:t>
            </w:r>
            <w:r w:rsidRPr="00D315DA">
              <w:rPr>
                <w:rFonts w:asciiTheme="majorHAnsi" w:hAnsiTheme="majorHAnsi" w:cstheme="majorHAnsi"/>
                <w:i/>
                <w:color w:val="000000"/>
              </w:rPr>
              <w:t xml:space="preserve">Medicina (Buenos Aires) </w:t>
            </w:r>
            <w:r w:rsidRPr="00D315DA">
              <w:rPr>
                <w:rFonts w:asciiTheme="majorHAnsi" w:hAnsiTheme="majorHAnsi" w:cstheme="majorHAnsi"/>
                <w:color w:val="000000"/>
              </w:rPr>
              <w:t>2000; 60: 591-4.</w:t>
            </w:r>
          </w:p>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Messina, A. y col. (2011) La pregunta Investigaciones e intervenciones sobre violencia sexual</w:t>
            </w:r>
          </w:p>
          <w:p w:rsidR="009F7D35" w:rsidRPr="00D315DA" w:rsidRDefault="009F7D35" w:rsidP="004450D7">
            <w:pPr>
              <w:rPr>
                <w:rFonts w:asciiTheme="majorHAnsi" w:hAnsiTheme="majorHAnsi" w:cstheme="majorHAnsi"/>
                <w:color w:val="000000"/>
              </w:rPr>
            </w:pPr>
            <w:proofErr w:type="gramStart"/>
            <w:r w:rsidRPr="00D315DA">
              <w:rPr>
                <w:rFonts w:asciiTheme="majorHAnsi" w:hAnsiTheme="majorHAnsi" w:cstheme="majorHAnsi"/>
                <w:color w:val="000000"/>
              </w:rPr>
              <w:t>desarrolladas</w:t>
            </w:r>
            <w:proofErr w:type="gramEnd"/>
            <w:r w:rsidRPr="00D315DA">
              <w:rPr>
                <w:rFonts w:asciiTheme="majorHAnsi" w:hAnsiTheme="majorHAnsi" w:cstheme="majorHAnsi"/>
                <w:color w:val="000000"/>
              </w:rPr>
              <w:t xml:space="preserve"> en A. Latina y el Caribe FLASOG Lima.</w:t>
            </w:r>
          </w:p>
          <w:p w:rsidR="009F7D35" w:rsidRPr="00D315DA" w:rsidRDefault="009F7D35" w:rsidP="004450D7">
            <w:pPr>
              <w:pStyle w:val="NormalWeb"/>
              <w:spacing w:before="0" w:beforeAutospacing="0" w:after="0" w:afterAutospacing="0"/>
              <w:rPr>
                <w:rFonts w:asciiTheme="majorHAnsi" w:hAnsiTheme="majorHAnsi" w:cstheme="majorHAnsi"/>
                <w:sz w:val="22"/>
                <w:szCs w:val="22"/>
              </w:rPr>
            </w:pPr>
            <w:proofErr w:type="spellStart"/>
            <w:r w:rsidRPr="00D315DA">
              <w:rPr>
                <w:rFonts w:asciiTheme="majorHAnsi" w:hAnsiTheme="majorHAnsi" w:cstheme="majorHAnsi"/>
                <w:color w:val="000000"/>
                <w:sz w:val="22"/>
                <w:szCs w:val="22"/>
              </w:rPr>
              <w:t>Millet</w:t>
            </w:r>
            <w:proofErr w:type="spellEnd"/>
            <w:r w:rsidRPr="00D315DA">
              <w:rPr>
                <w:rFonts w:asciiTheme="majorHAnsi" w:hAnsiTheme="majorHAnsi" w:cstheme="majorHAnsi"/>
                <w:color w:val="000000"/>
                <w:sz w:val="22"/>
                <w:szCs w:val="22"/>
              </w:rPr>
              <w:t>,  A. (2021) “</w:t>
            </w:r>
            <w:proofErr w:type="spellStart"/>
            <w:r w:rsidRPr="00D315DA">
              <w:rPr>
                <w:rFonts w:asciiTheme="majorHAnsi" w:hAnsiTheme="majorHAnsi" w:cstheme="majorHAnsi"/>
                <w:color w:val="000000"/>
                <w:sz w:val="22"/>
                <w:szCs w:val="22"/>
              </w:rPr>
              <w:t>Cisexismo</w:t>
            </w:r>
            <w:proofErr w:type="spellEnd"/>
            <w:r w:rsidRPr="00D315DA">
              <w:rPr>
                <w:rFonts w:asciiTheme="majorHAnsi" w:hAnsiTheme="majorHAnsi" w:cstheme="majorHAnsi"/>
                <w:color w:val="000000"/>
                <w:sz w:val="22"/>
                <w:szCs w:val="22"/>
              </w:rPr>
              <w:t xml:space="preserve"> y Salud. Algunas ideas desde otro lado" Colección Justicia Epistémica. </w:t>
            </w:r>
            <w:proofErr w:type="spellStart"/>
            <w:r w:rsidRPr="00D315DA">
              <w:rPr>
                <w:rFonts w:asciiTheme="majorHAnsi" w:hAnsiTheme="majorHAnsi" w:cstheme="majorHAnsi"/>
                <w:color w:val="000000"/>
                <w:sz w:val="22"/>
                <w:szCs w:val="22"/>
              </w:rPr>
              <w:t>Págs</w:t>
            </w:r>
            <w:proofErr w:type="spellEnd"/>
            <w:r w:rsidRPr="00D315DA">
              <w:rPr>
                <w:rFonts w:asciiTheme="majorHAnsi" w:hAnsiTheme="majorHAnsi" w:cstheme="majorHAnsi"/>
                <w:color w:val="000000"/>
                <w:sz w:val="22"/>
                <w:szCs w:val="22"/>
              </w:rPr>
              <w:t>: 10 y 11, 19 a 27 y 39 a 60</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Muchembled</w:t>
            </w:r>
            <w:proofErr w:type="spellEnd"/>
            <w:r w:rsidRPr="00D315DA">
              <w:rPr>
                <w:rFonts w:asciiTheme="majorHAnsi" w:hAnsiTheme="majorHAnsi" w:cstheme="majorHAnsi"/>
                <w:color w:val="000000"/>
              </w:rPr>
              <w:t>, R.  (2010) Una historia de la violencia. Madrid. Paidós</w:t>
            </w:r>
          </w:p>
          <w:p w:rsidR="009F7D35" w:rsidRPr="00D315DA" w:rsidRDefault="009F7D35" w:rsidP="004450D7">
            <w:pPr>
              <w:pStyle w:val="NormalWeb"/>
              <w:spacing w:before="0" w:beforeAutospacing="0" w:after="0" w:afterAutospacing="0"/>
              <w:rPr>
                <w:rFonts w:asciiTheme="majorHAnsi" w:hAnsiTheme="majorHAnsi" w:cstheme="majorHAnsi"/>
                <w:sz w:val="22"/>
                <w:szCs w:val="22"/>
              </w:rPr>
            </w:pPr>
            <w:proofErr w:type="spellStart"/>
            <w:r w:rsidRPr="00D315DA">
              <w:rPr>
                <w:rFonts w:asciiTheme="majorHAnsi" w:hAnsiTheme="majorHAnsi" w:cstheme="majorHAnsi"/>
                <w:color w:val="000000"/>
                <w:sz w:val="22"/>
                <w:szCs w:val="22"/>
              </w:rPr>
              <w:t>Perez</w:t>
            </w:r>
            <w:proofErr w:type="spellEnd"/>
            <w:r w:rsidRPr="00D315DA">
              <w:rPr>
                <w:rFonts w:asciiTheme="majorHAnsi" w:hAnsiTheme="majorHAnsi" w:cstheme="majorHAnsi"/>
                <w:color w:val="000000"/>
                <w:sz w:val="22"/>
                <w:szCs w:val="22"/>
              </w:rPr>
              <w:t xml:space="preserve">, M.  Salud y soberanía de los cuerpos: propuestas y tensiones desde una perspectiva </w:t>
            </w:r>
            <w:proofErr w:type="spellStart"/>
            <w:r w:rsidRPr="00D315DA">
              <w:rPr>
                <w:rFonts w:asciiTheme="majorHAnsi" w:hAnsiTheme="majorHAnsi" w:cstheme="majorHAnsi"/>
                <w:color w:val="000000"/>
                <w:sz w:val="22"/>
                <w:szCs w:val="22"/>
              </w:rPr>
              <w:t>queer</w:t>
            </w:r>
            <w:proofErr w:type="spellEnd"/>
            <w:r w:rsidRPr="00D315DA">
              <w:rPr>
                <w:rFonts w:asciiTheme="majorHAnsi" w:hAnsiTheme="majorHAnsi" w:cstheme="majorHAnsi"/>
                <w:color w:val="000000"/>
                <w:sz w:val="22"/>
                <w:szCs w:val="22"/>
              </w:rPr>
              <w:t xml:space="preserve">  en </w:t>
            </w:r>
            <w:proofErr w:type="spellStart"/>
            <w:r w:rsidRPr="00D315DA">
              <w:rPr>
                <w:rFonts w:asciiTheme="majorHAnsi" w:hAnsiTheme="majorHAnsi" w:cstheme="majorHAnsi"/>
                <w:color w:val="000000"/>
                <w:sz w:val="22"/>
                <w:szCs w:val="22"/>
              </w:rPr>
              <w:t>Balaña</w:t>
            </w:r>
            <w:proofErr w:type="spellEnd"/>
            <w:r w:rsidRPr="00D315DA">
              <w:rPr>
                <w:rFonts w:asciiTheme="majorHAnsi" w:hAnsiTheme="majorHAnsi" w:cstheme="majorHAnsi"/>
                <w:color w:val="000000"/>
                <w:sz w:val="22"/>
                <w:szCs w:val="22"/>
              </w:rPr>
              <w:t xml:space="preserve"> S., </w:t>
            </w:r>
            <w:proofErr w:type="spellStart"/>
            <w:r w:rsidRPr="00D315DA">
              <w:rPr>
                <w:rFonts w:asciiTheme="majorHAnsi" w:hAnsiTheme="majorHAnsi" w:cstheme="majorHAnsi"/>
                <w:color w:val="000000"/>
                <w:sz w:val="22"/>
                <w:szCs w:val="22"/>
              </w:rPr>
              <w:t>Finielli</w:t>
            </w:r>
            <w:proofErr w:type="spellEnd"/>
            <w:r w:rsidRPr="00D315DA">
              <w:rPr>
                <w:rFonts w:asciiTheme="majorHAnsi" w:hAnsiTheme="majorHAnsi" w:cstheme="majorHAnsi"/>
                <w:color w:val="000000"/>
                <w:sz w:val="22"/>
                <w:szCs w:val="22"/>
              </w:rPr>
              <w:t xml:space="preserve"> A., Giuliano C., Paz A. y </w:t>
            </w:r>
            <w:proofErr w:type="spellStart"/>
            <w:r w:rsidRPr="00D315DA">
              <w:rPr>
                <w:rFonts w:asciiTheme="majorHAnsi" w:hAnsiTheme="majorHAnsi" w:cstheme="majorHAnsi"/>
                <w:color w:val="000000"/>
                <w:sz w:val="22"/>
                <w:szCs w:val="22"/>
              </w:rPr>
              <w:t>Ramirez</w:t>
            </w:r>
            <w:proofErr w:type="spellEnd"/>
            <w:r w:rsidRPr="00D315DA">
              <w:rPr>
                <w:rFonts w:asciiTheme="majorHAnsi" w:hAnsiTheme="majorHAnsi" w:cstheme="majorHAnsi"/>
                <w:color w:val="000000"/>
                <w:sz w:val="22"/>
                <w:szCs w:val="22"/>
              </w:rPr>
              <w:t xml:space="preserve"> C., Salud Feminista. Soberanía de los cuerpos, poder y organización. Buenos Aires (Argentina): Tinta Limón</w:t>
            </w:r>
            <w:r w:rsidRPr="00D315DA">
              <w:rPr>
                <w:rFonts w:asciiTheme="majorHAnsi" w:hAnsiTheme="majorHAnsi" w:cstheme="majorHAnsi"/>
                <w:sz w:val="22"/>
                <w:szCs w:val="22"/>
              </w:rPr>
              <w:t xml:space="preserve"> </w:t>
            </w:r>
          </w:p>
          <w:p w:rsidR="009F7D35" w:rsidRPr="00D315DA" w:rsidRDefault="009F7D35" w:rsidP="004450D7">
            <w:pPr>
              <w:rPr>
                <w:rFonts w:asciiTheme="majorHAnsi" w:hAnsiTheme="majorHAnsi" w:cstheme="majorHAnsi"/>
              </w:rPr>
            </w:pPr>
            <w:r w:rsidRPr="00D315DA">
              <w:rPr>
                <w:rFonts w:asciiTheme="majorHAnsi" w:hAnsiTheme="majorHAnsi" w:cstheme="majorHAnsi"/>
              </w:rPr>
              <w:t>Pitch T (2014) La violencia contra las mujeres y sus usos políticos.</w:t>
            </w:r>
          </w:p>
          <w:p w:rsidR="009F7D35" w:rsidRPr="00D315DA" w:rsidRDefault="009F7D35" w:rsidP="004450D7">
            <w:pPr>
              <w:rPr>
                <w:rFonts w:asciiTheme="majorHAnsi" w:hAnsiTheme="majorHAnsi" w:cstheme="majorHAnsi"/>
                <w:color w:val="000000"/>
              </w:rPr>
            </w:pPr>
            <w:hyperlink r:id="rId7" w:history="1">
              <w:r w:rsidRPr="00D315DA">
                <w:rPr>
                  <w:rStyle w:val="Hipervnculo"/>
                  <w:rFonts w:asciiTheme="majorHAnsi" w:hAnsiTheme="majorHAnsi" w:cstheme="majorHAnsi"/>
                </w:rPr>
                <w:t>Pombo, M.G. (2021)</w:t>
              </w:r>
            </w:hyperlink>
            <w:r w:rsidRPr="00D315DA">
              <w:rPr>
                <w:rFonts w:asciiTheme="majorHAnsi" w:hAnsiTheme="majorHAnsi" w:cstheme="majorHAnsi"/>
                <w:color w:val="000000"/>
              </w:rPr>
              <w:t xml:space="preserve"> “Perspectivas feministas </w:t>
            </w:r>
            <w:proofErr w:type="spellStart"/>
            <w:r w:rsidRPr="00D315DA">
              <w:rPr>
                <w:rFonts w:asciiTheme="majorHAnsi" w:hAnsiTheme="majorHAnsi" w:cstheme="majorHAnsi"/>
                <w:color w:val="000000"/>
              </w:rPr>
              <w:t>interseccionales</w:t>
            </w:r>
            <w:proofErr w:type="spellEnd"/>
            <w:r w:rsidRPr="00D315DA">
              <w:rPr>
                <w:rFonts w:asciiTheme="majorHAnsi" w:hAnsiTheme="majorHAnsi" w:cstheme="majorHAnsi"/>
                <w:color w:val="000000"/>
              </w:rPr>
              <w:t>: pregnancias, cancelaciones y potencialidades articulatorias”. Rev. Debate Público, Año 11 - Nro. 22, Nov 2021, Carrera de Trabajo Social FSOC-UBA.</w:t>
            </w:r>
          </w:p>
          <w:p w:rsidR="009F7D35" w:rsidRDefault="009F7D35" w:rsidP="004450D7">
            <w:pPr>
              <w:rPr>
                <w:rFonts w:asciiTheme="majorHAnsi" w:hAnsiTheme="majorHAnsi" w:cstheme="majorHAnsi"/>
                <w:color w:val="000000"/>
              </w:rPr>
            </w:pPr>
            <w:r w:rsidRPr="00D315DA">
              <w:rPr>
                <w:rFonts w:asciiTheme="majorHAnsi" w:hAnsiTheme="majorHAnsi" w:cstheme="majorHAnsi"/>
              </w:rPr>
              <w:t>Pombo,  M.G (2019</w:t>
            </w:r>
            <w:proofErr w:type="gramStart"/>
            <w:r w:rsidRPr="00D315DA">
              <w:rPr>
                <w:rFonts w:asciiTheme="majorHAnsi" w:hAnsiTheme="majorHAnsi" w:cstheme="majorHAnsi"/>
                <w:color w:val="000000"/>
              </w:rPr>
              <w:t>)“</w:t>
            </w:r>
            <w:proofErr w:type="gramEnd"/>
            <w:r w:rsidRPr="00D315DA">
              <w:rPr>
                <w:rFonts w:asciiTheme="majorHAnsi" w:hAnsiTheme="majorHAnsi" w:cstheme="majorHAnsi"/>
                <w:color w:val="000000"/>
              </w:rPr>
              <w:t xml:space="preserve">Las perspectivas </w:t>
            </w:r>
            <w:proofErr w:type="spellStart"/>
            <w:r w:rsidRPr="00D315DA">
              <w:rPr>
                <w:rFonts w:asciiTheme="majorHAnsi" w:hAnsiTheme="majorHAnsi" w:cstheme="majorHAnsi"/>
                <w:color w:val="000000"/>
              </w:rPr>
              <w:t>interseccionales</w:t>
            </w:r>
            <w:proofErr w:type="spellEnd"/>
            <w:r w:rsidRPr="00D315DA">
              <w:rPr>
                <w:rFonts w:asciiTheme="majorHAnsi" w:hAnsiTheme="majorHAnsi" w:cstheme="majorHAnsi"/>
                <w:color w:val="000000"/>
              </w:rPr>
              <w:t xml:space="preserve"> como herramientas para el análisis y la implementación de políticas sociales”, Rev. Plaza Pública, Año 12-Nº 22, Dic. 2019, FCH – UNCPBA.</w:t>
            </w:r>
          </w:p>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 xml:space="preserve">Pombo, M.G. (2019) “La </w:t>
            </w:r>
            <w:proofErr w:type="spellStart"/>
            <w:r w:rsidRPr="00D315DA">
              <w:rPr>
                <w:rFonts w:asciiTheme="majorHAnsi" w:hAnsiTheme="majorHAnsi" w:cstheme="majorHAnsi"/>
                <w:color w:val="000000"/>
              </w:rPr>
              <w:t>interseccionalidad</w:t>
            </w:r>
            <w:proofErr w:type="spellEnd"/>
            <w:r w:rsidRPr="00D315DA">
              <w:rPr>
                <w:rFonts w:asciiTheme="majorHAnsi" w:hAnsiTheme="majorHAnsi" w:cstheme="majorHAnsi"/>
                <w:color w:val="000000"/>
              </w:rPr>
              <w:t xml:space="preserve"> y el campo disciplinar del Trabajo Social: topografías en diálogo”. Capítulo del libro: Trabajo Social y Feminismos: perspectivas </w:t>
            </w:r>
            <w:r w:rsidRPr="00D315DA">
              <w:rPr>
                <w:rFonts w:asciiTheme="majorHAnsi" w:hAnsiTheme="majorHAnsi" w:cstheme="majorHAnsi"/>
                <w:color w:val="000000"/>
              </w:rPr>
              <w:lastRenderedPageBreak/>
              <w:t>y estrategias en debate. Colección Debates en Trabajo Social. ICEP-CTSP BA. La Plata, 2019. Pombo MG. “Mujeres migrantes y violencia de género. Aportes para la reflexión y la intervención”. Organización internacional para las Migraciones. Buenos Aires. 2014</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Porter</w:t>
            </w:r>
            <w:proofErr w:type="spellEnd"/>
            <w:r w:rsidRPr="00D315DA">
              <w:rPr>
                <w:rFonts w:asciiTheme="majorHAnsi" w:hAnsiTheme="majorHAnsi" w:cstheme="majorHAnsi"/>
                <w:color w:val="000000"/>
              </w:rPr>
              <w:t xml:space="preserve"> &amp; López-Angulo. Violencia vicaria en el contexto de la violencia</w:t>
            </w:r>
          </w:p>
          <w:p w:rsidR="009F7D35" w:rsidRPr="00D315DA" w:rsidRDefault="009F7D35" w:rsidP="004450D7">
            <w:pPr>
              <w:rPr>
                <w:rFonts w:asciiTheme="majorHAnsi" w:hAnsiTheme="majorHAnsi" w:cstheme="majorHAnsi"/>
                <w:color w:val="000000"/>
              </w:rPr>
            </w:pPr>
            <w:proofErr w:type="gramStart"/>
            <w:r w:rsidRPr="00D315DA">
              <w:rPr>
                <w:rFonts w:asciiTheme="majorHAnsi" w:hAnsiTheme="majorHAnsi" w:cstheme="majorHAnsi"/>
                <w:color w:val="000000"/>
              </w:rPr>
              <w:t>de</w:t>
            </w:r>
            <w:proofErr w:type="gramEnd"/>
            <w:r w:rsidRPr="00D315DA">
              <w:rPr>
                <w:rFonts w:asciiTheme="majorHAnsi" w:hAnsiTheme="majorHAnsi" w:cstheme="majorHAnsi"/>
                <w:color w:val="000000"/>
              </w:rPr>
              <w:t xml:space="preserve"> género: Un estudio descriptivo en Iberoamérica. Enero – Junio 2022</w:t>
            </w:r>
          </w:p>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http://dx.doi.org/10.33210/ca.v11i1.381</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Sagot</w:t>
            </w:r>
            <w:proofErr w:type="spellEnd"/>
            <w:r w:rsidRPr="00D315DA">
              <w:rPr>
                <w:rFonts w:asciiTheme="majorHAnsi" w:hAnsiTheme="majorHAnsi" w:cstheme="majorHAnsi"/>
                <w:color w:val="000000"/>
              </w:rPr>
              <w:t>, M. (2000); “La ruta Crítica de las mujeres afectadas por la violencia intrafamiliar en</w:t>
            </w:r>
          </w:p>
          <w:p w:rsidR="009F7D35" w:rsidRPr="00D315DA" w:rsidRDefault="009F7D35" w:rsidP="004450D7">
            <w:pPr>
              <w:rPr>
                <w:rFonts w:asciiTheme="majorHAnsi" w:hAnsiTheme="majorHAnsi" w:cstheme="majorHAnsi"/>
                <w:color w:val="000000"/>
              </w:rPr>
            </w:pPr>
            <w:r w:rsidRPr="00D315DA">
              <w:rPr>
                <w:rFonts w:asciiTheme="majorHAnsi" w:hAnsiTheme="majorHAnsi" w:cstheme="majorHAnsi"/>
                <w:color w:val="000000"/>
              </w:rPr>
              <w:t>América Latina” Washington, OPS.</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Sanyal</w:t>
            </w:r>
            <w:proofErr w:type="spellEnd"/>
            <w:r w:rsidRPr="00D315DA">
              <w:rPr>
                <w:rFonts w:asciiTheme="majorHAnsi" w:hAnsiTheme="majorHAnsi" w:cstheme="majorHAnsi"/>
                <w:color w:val="000000"/>
              </w:rPr>
              <w:t xml:space="preserve">, M. (2019) Violación. España. </w:t>
            </w:r>
            <w:proofErr w:type="spellStart"/>
            <w:r w:rsidRPr="00D315DA">
              <w:rPr>
                <w:rFonts w:asciiTheme="majorHAnsi" w:hAnsiTheme="majorHAnsi" w:cstheme="majorHAnsi"/>
                <w:color w:val="000000"/>
              </w:rPr>
              <w:t>Penguin</w:t>
            </w:r>
            <w:proofErr w:type="spellEnd"/>
            <w:r w:rsidRPr="00D315DA">
              <w:rPr>
                <w:rFonts w:asciiTheme="majorHAnsi" w:hAnsiTheme="majorHAnsi" w:cstheme="majorHAnsi"/>
                <w:color w:val="000000"/>
              </w:rPr>
              <w:t xml:space="preserve"> </w:t>
            </w:r>
            <w:proofErr w:type="spellStart"/>
            <w:r w:rsidRPr="00D315DA">
              <w:rPr>
                <w:rFonts w:asciiTheme="majorHAnsi" w:hAnsiTheme="majorHAnsi" w:cstheme="majorHAnsi"/>
                <w:color w:val="000000"/>
              </w:rPr>
              <w:t>Random</w:t>
            </w:r>
            <w:proofErr w:type="spellEnd"/>
            <w:r w:rsidRPr="00D315DA">
              <w:rPr>
                <w:rFonts w:asciiTheme="majorHAnsi" w:hAnsiTheme="majorHAnsi" w:cstheme="majorHAnsi"/>
                <w:color w:val="000000"/>
              </w:rPr>
              <w:t xml:space="preserve"> </w:t>
            </w:r>
            <w:proofErr w:type="spellStart"/>
            <w:r w:rsidRPr="00D315DA">
              <w:rPr>
                <w:rFonts w:asciiTheme="majorHAnsi" w:hAnsiTheme="majorHAnsi" w:cstheme="majorHAnsi"/>
                <w:color w:val="000000"/>
              </w:rPr>
              <w:t>House</w:t>
            </w:r>
            <w:proofErr w:type="spellEnd"/>
            <w:r w:rsidRPr="00D315DA">
              <w:rPr>
                <w:rFonts w:asciiTheme="majorHAnsi" w:hAnsiTheme="majorHAnsi" w:cstheme="majorHAnsi"/>
                <w:color w:val="000000"/>
              </w:rPr>
              <w:t xml:space="preserve"> Grupo Editorial.</w:t>
            </w:r>
          </w:p>
          <w:p w:rsidR="009F7D35" w:rsidRPr="00D315DA" w:rsidRDefault="009F7D35" w:rsidP="004450D7">
            <w:pPr>
              <w:rPr>
                <w:rFonts w:asciiTheme="majorHAnsi" w:hAnsiTheme="majorHAnsi" w:cstheme="majorHAnsi"/>
                <w:color w:val="000000"/>
              </w:rPr>
            </w:pPr>
            <w:proofErr w:type="spellStart"/>
            <w:r w:rsidRPr="00D315DA">
              <w:rPr>
                <w:rFonts w:asciiTheme="majorHAnsi" w:hAnsiTheme="majorHAnsi" w:cstheme="majorHAnsi"/>
                <w:color w:val="000000"/>
              </w:rPr>
              <w:t>Segato</w:t>
            </w:r>
            <w:proofErr w:type="spellEnd"/>
            <w:r w:rsidRPr="00D315DA">
              <w:rPr>
                <w:rFonts w:asciiTheme="majorHAnsi" w:hAnsiTheme="majorHAnsi" w:cstheme="majorHAnsi"/>
                <w:color w:val="000000"/>
              </w:rPr>
              <w:t>, R. (2014) La Escritura en el cuerpo de las mujeres asesinadas en Ciudad Juárez:</w:t>
            </w:r>
          </w:p>
          <w:p w:rsidR="009F7D35" w:rsidRPr="00D315DA" w:rsidRDefault="009F7D35" w:rsidP="004450D7">
            <w:pPr>
              <w:rPr>
                <w:rFonts w:asciiTheme="majorHAnsi" w:hAnsiTheme="majorHAnsi" w:cstheme="majorHAnsi"/>
                <w:color w:val="000000"/>
              </w:rPr>
            </w:pPr>
            <w:proofErr w:type="gramStart"/>
            <w:r w:rsidRPr="00D315DA">
              <w:rPr>
                <w:rFonts w:asciiTheme="majorHAnsi" w:hAnsiTheme="majorHAnsi" w:cstheme="majorHAnsi"/>
                <w:color w:val="000000"/>
              </w:rPr>
              <w:t>territorio</w:t>
            </w:r>
            <w:proofErr w:type="gramEnd"/>
            <w:r w:rsidRPr="00D315DA">
              <w:rPr>
                <w:rFonts w:asciiTheme="majorHAnsi" w:hAnsiTheme="majorHAnsi" w:cstheme="majorHAnsi"/>
                <w:color w:val="000000"/>
              </w:rPr>
              <w:t>, soberanía y crímenes de Segundo Estado. Buenos Aires: Tinta Limón.</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color w:val="000000"/>
              </w:rPr>
              <w:t>Segato</w:t>
            </w:r>
            <w:proofErr w:type="spellEnd"/>
            <w:r w:rsidRPr="00D315DA">
              <w:rPr>
                <w:rFonts w:asciiTheme="majorHAnsi" w:hAnsiTheme="majorHAnsi" w:cstheme="majorHAnsi"/>
                <w:color w:val="000000"/>
              </w:rPr>
              <w:t xml:space="preserve">, R. (2015) Las Nuevas formas de la guerra y el cuerpo de las mujeres. México: Pez en </w:t>
            </w:r>
            <w:r w:rsidRPr="00D315DA">
              <w:rPr>
                <w:rFonts w:asciiTheme="majorHAnsi" w:hAnsiTheme="majorHAnsi" w:cstheme="majorHAnsi"/>
              </w:rPr>
              <w:t>el Árbol.</w:t>
            </w:r>
          </w:p>
          <w:p w:rsidR="009F7D35" w:rsidRPr="00D315DA" w:rsidRDefault="009F7D35" w:rsidP="004450D7">
            <w:pPr>
              <w:rPr>
                <w:rFonts w:asciiTheme="majorHAnsi" w:hAnsiTheme="majorHAnsi" w:cstheme="majorHAnsi"/>
              </w:rPr>
            </w:pPr>
            <w:proofErr w:type="spellStart"/>
            <w:r w:rsidRPr="00D315DA">
              <w:rPr>
                <w:rFonts w:asciiTheme="majorHAnsi" w:hAnsiTheme="majorHAnsi" w:cstheme="majorHAnsi"/>
              </w:rPr>
              <w:t>Teodori</w:t>
            </w:r>
            <w:proofErr w:type="spellEnd"/>
            <w:r w:rsidRPr="00D315DA">
              <w:rPr>
                <w:rFonts w:asciiTheme="majorHAnsi" w:hAnsiTheme="majorHAnsi" w:cstheme="majorHAnsi"/>
              </w:rPr>
              <w:t xml:space="preserve">, C. (2022) Las cosas por su nombre. Rev. Soberanía Sanitaria. Año 6 · Número 7   </w:t>
            </w:r>
            <w:r w:rsidRPr="00D315DA">
              <w:rPr>
                <w:rFonts w:asciiTheme="majorHAnsi" w:hAnsiTheme="majorHAnsi" w:cstheme="majorHAnsi"/>
                <w:shd w:val="clear" w:color="auto" w:fill="FFFFFF"/>
              </w:rPr>
              <w:t> </w:t>
            </w:r>
            <w:hyperlink r:id="rId8" w:tgtFrame="_blank" w:history="1">
              <w:r w:rsidRPr="00D315DA">
                <w:rPr>
                  <w:rStyle w:val="Hipervnculo"/>
                  <w:rFonts w:asciiTheme="majorHAnsi" w:hAnsiTheme="majorHAnsi" w:cstheme="majorHAnsi"/>
                  <w:shd w:val="clear" w:color="auto" w:fill="FFFFFF"/>
                </w:rPr>
                <w:t>https://bit.ly/RevistaSS-GuerraySalud</w:t>
              </w:r>
            </w:hyperlink>
          </w:p>
          <w:p w:rsidR="009F7D35" w:rsidRPr="00D315DA" w:rsidRDefault="009F7D35" w:rsidP="004450D7">
            <w:pPr>
              <w:rPr>
                <w:rFonts w:asciiTheme="majorHAnsi" w:hAnsiTheme="majorHAnsi" w:cstheme="majorHAnsi"/>
                <w:color w:val="0000FF"/>
                <w:u w:val="single"/>
              </w:rPr>
            </w:pPr>
            <w:proofErr w:type="spellStart"/>
            <w:r w:rsidRPr="00D315DA">
              <w:rPr>
                <w:rFonts w:asciiTheme="majorHAnsi" w:hAnsiTheme="majorHAnsi" w:cstheme="majorHAnsi"/>
              </w:rPr>
              <w:t>Teodori</w:t>
            </w:r>
            <w:proofErr w:type="spellEnd"/>
            <w:r w:rsidRPr="00D315DA">
              <w:rPr>
                <w:rFonts w:asciiTheme="majorHAnsi" w:hAnsiTheme="majorHAnsi" w:cstheme="majorHAnsi"/>
              </w:rPr>
              <w:t>, C. (2018) “</w:t>
            </w:r>
            <w:bookmarkStart w:id="7" w:name="_Hlk504722081"/>
            <w:r w:rsidRPr="00D315DA">
              <w:rPr>
                <w:rFonts w:asciiTheme="majorHAnsi" w:hAnsiTheme="majorHAnsi" w:cstheme="majorHAnsi"/>
              </w:rPr>
              <w:t>Redes vinculares y apoyo social en la respuesta a la violencia de género</w:t>
            </w:r>
            <w:r w:rsidRPr="00D315DA">
              <w:rPr>
                <w:rFonts w:asciiTheme="majorHAnsi" w:hAnsiTheme="majorHAnsi" w:cstheme="majorHAnsi"/>
                <w:color w:val="0070C0"/>
              </w:rPr>
              <w:t>:</w:t>
            </w:r>
            <w:r w:rsidRPr="00D315DA">
              <w:rPr>
                <w:rFonts w:asciiTheme="majorHAnsi" w:hAnsiTheme="majorHAnsi" w:cstheme="majorHAnsi"/>
              </w:rPr>
              <w:t xml:space="preserve"> los dispositivos grupales para mujeres</w:t>
            </w:r>
            <w:bookmarkEnd w:id="7"/>
            <w:r w:rsidRPr="00D315DA">
              <w:rPr>
                <w:rFonts w:asciiTheme="majorHAnsi" w:hAnsiTheme="majorHAnsi" w:cstheme="majorHAnsi"/>
              </w:rPr>
              <w:t xml:space="preserve">” en Resiliencia de las neurociencias las redes sociales. Compilador Roberto </w:t>
            </w:r>
            <w:proofErr w:type="spellStart"/>
            <w:r w:rsidRPr="00D315DA">
              <w:rPr>
                <w:rFonts w:asciiTheme="majorHAnsi" w:hAnsiTheme="majorHAnsi" w:cstheme="majorHAnsi"/>
              </w:rPr>
              <w:t>Sivak</w:t>
            </w:r>
            <w:proofErr w:type="spellEnd"/>
            <w:r w:rsidRPr="00D315DA">
              <w:rPr>
                <w:rFonts w:asciiTheme="majorHAnsi" w:hAnsiTheme="majorHAnsi" w:cstheme="majorHAnsi"/>
              </w:rPr>
              <w:t xml:space="preserve">. Editorial </w:t>
            </w:r>
            <w:proofErr w:type="spellStart"/>
            <w:r w:rsidRPr="00D315DA">
              <w:rPr>
                <w:rFonts w:asciiTheme="majorHAnsi" w:hAnsiTheme="majorHAnsi" w:cstheme="majorHAnsi"/>
              </w:rPr>
              <w:t>Akadia</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color w:val="000000"/>
              </w:rPr>
              <w:t>Teodori</w:t>
            </w:r>
            <w:proofErr w:type="spellEnd"/>
            <w:r w:rsidRPr="00D315DA">
              <w:rPr>
                <w:rFonts w:asciiTheme="majorHAnsi" w:hAnsiTheme="majorHAnsi" w:cstheme="majorHAnsi"/>
                <w:color w:val="000000"/>
              </w:rPr>
              <w:t xml:space="preserve">, C. (2016) “A los saltos buscando el cielo. Trayectorias de mujeres en situación de violencia familiar. </w:t>
            </w:r>
            <w:proofErr w:type="spellStart"/>
            <w:r w:rsidRPr="00D315DA">
              <w:rPr>
                <w:rFonts w:asciiTheme="majorHAnsi" w:hAnsiTheme="majorHAnsi" w:cstheme="majorHAnsi"/>
                <w:color w:val="000000"/>
              </w:rPr>
              <w:t>Biblos</w:t>
            </w:r>
            <w:proofErr w:type="spellEnd"/>
            <w:r w:rsidRPr="00D315DA">
              <w:rPr>
                <w:rFonts w:asciiTheme="majorHAnsi" w:hAnsiTheme="majorHAnsi" w:cstheme="majorHAnsi"/>
                <w:color w:val="000000"/>
              </w:rPr>
              <w:t xml:space="preserve">. Buenos Aires.                                                                                      </w:t>
            </w:r>
            <w:proofErr w:type="spellStart"/>
            <w:r w:rsidRPr="00D315DA">
              <w:rPr>
                <w:rFonts w:asciiTheme="majorHAnsi" w:hAnsiTheme="majorHAnsi" w:cstheme="majorHAnsi"/>
                <w:color w:val="000000"/>
              </w:rPr>
              <w:t>Teodori</w:t>
            </w:r>
            <w:proofErr w:type="spellEnd"/>
            <w:r w:rsidRPr="00D315DA">
              <w:rPr>
                <w:rFonts w:asciiTheme="majorHAnsi" w:hAnsiTheme="majorHAnsi" w:cstheme="majorHAnsi"/>
                <w:color w:val="000000"/>
              </w:rPr>
              <w:t>, C. (2015) Las respuestas del Sistema de Justicia en las trayectorias de mujeres en situación de violencia. Boletín Nº 6 – Julio 2015:</w:t>
            </w:r>
            <w:r w:rsidRPr="00D315DA">
              <w:rPr>
                <w:rFonts w:asciiTheme="majorHAnsi" w:eastAsia="Helvetica Neue" w:hAnsiTheme="majorHAnsi" w:cstheme="majorHAnsi"/>
              </w:rPr>
              <w:t xml:space="preserve"> </w:t>
            </w:r>
            <w:hyperlink r:id="rId9" w:history="1">
              <w:r w:rsidRPr="00D315DA">
                <w:rPr>
                  <w:rStyle w:val="Hipervnculo"/>
                  <w:rFonts w:asciiTheme="majorHAnsi" w:hAnsiTheme="majorHAnsi" w:cstheme="majorHAnsi"/>
                </w:rPr>
                <w:t>https://www.jusbaires.gob.ar/content/por-claudia-teodori</w:t>
              </w:r>
            </w:hyperlink>
            <w:r w:rsidRPr="00D315DA">
              <w:rPr>
                <w:rFonts w:asciiTheme="majorHAnsi" w:hAnsiTheme="majorHAnsi" w:cstheme="majorHAnsi"/>
                <w:color w:val="0000FF"/>
                <w:u w:val="single"/>
              </w:rPr>
              <w:t xml:space="preserve">                                                    </w:t>
            </w:r>
          </w:p>
          <w:p w:rsidR="009F7D35" w:rsidRDefault="009F7D35" w:rsidP="004450D7">
            <w:proofErr w:type="spellStart"/>
            <w:r w:rsidRPr="00D315DA">
              <w:rPr>
                <w:rFonts w:asciiTheme="majorHAnsi" w:hAnsiTheme="majorHAnsi" w:cstheme="majorHAnsi"/>
              </w:rPr>
              <w:t>Trebisacce</w:t>
            </w:r>
            <w:proofErr w:type="spellEnd"/>
            <w:r w:rsidRPr="00D315DA">
              <w:rPr>
                <w:rFonts w:asciiTheme="majorHAnsi" w:hAnsiTheme="majorHAnsi" w:cstheme="majorHAnsi"/>
              </w:rPr>
              <w:t xml:space="preserve">, C. “Violencia y derechos en la agenda feminista de los años ochenta. Una exploración al período”  en </w:t>
            </w:r>
            <w:proofErr w:type="spellStart"/>
            <w:r w:rsidRPr="00D315DA">
              <w:rPr>
                <w:rFonts w:asciiTheme="majorHAnsi" w:hAnsiTheme="majorHAnsi" w:cstheme="majorHAnsi"/>
              </w:rPr>
              <w:t>Monica</w:t>
            </w:r>
            <w:proofErr w:type="spellEnd"/>
            <w:r w:rsidRPr="00D315DA">
              <w:rPr>
                <w:rFonts w:asciiTheme="majorHAnsi" w:hAnsiTheme="majorHAnsi" w:cstheme="majorHAnsi"/>
              </w:rPr>
              <w:t xml:space="preserve"> TARDUCCI y Deborah DAICH, </w:t>
            </w:r>
            <w:r w:rsidRPr="00D315DA">
              <w:rPr>
                <w:rFonts w:asciiTheme="majorHAnsi" w:hAnsiTheme="majorHAnsi" w:cstheme="majorHAnsi"/>
                <w:i/>
              </w:rPr>
              <w:t xml:space="preserve">Mujeres y feminismos en movimiento. Politizaciones de la vida cotidiana, </w:t>
            </w:r>
            <w:r w:rsidRPr="00D315DA">
              <w:rPr>
                <w:rFonts w:asciiTheme="majorHAnsi" w:hAnsiTheme="majorHAnsi" w:cstheme="majorHAnsi"/>
              </w:rPr>
              <w:t xml:space="preserve">EFFL, Editorial </w:t>
            </w:r>
            <w:proofErr w:type="spellStart"/>
            <w:r w:rsidRPr="00D315DA">
              <w:rPr>
                <w:rFonts w:asciiTheme="majorHAnsi" w:hAnsiTheme="majorHAnsi" w:cstheme="majorHAnsi"/>
              </w:rPr>
              <w:t>FFyLetras</w:t>
            </w:r>
            <w:proofErr w:type="spellEnd"/>
            <w:r w:rsidRPr="00D315DA">
              <w:rPr>
                <w:rFonts w:asciiTheme="majorHAnsi" w:hAnsiTheme="majorHAnsi" w:cstheme="majorHAnsi"/>
              </w:rPr>
              <w:t xml:space="preserve"> bs As            </w:t>
            </w:r>
            <w:proofErr w:type="spellStart"/>
            <w:r w:rsidRPr="00D315DA">
              <w:rPr>
                <w:rFonts w:asciiTheme="majorHAnsi" w:hAnsiTheme="majorHAnsi" w:cstheme="majorHAnsi"/>
              </w:rPr>
              <w:t>Travassos</w:t>
            </w:r>
            <w:proofErr w:type="spellEnd"/>
            <w:r w:rsidRPr="00D315DA">
              <w:rPr>
                <w:rFonts w:asciiTheme="majorHAnsi" w:hAnsiTheme="majorHAnsi" w:cstheme="majorHAnsi"/>
              </w:rPr>
              <w:t xml:space="preserve"> C. y col. (2004) </w:t>
            </w:r>
            <w:proofErr w:type="spellStart"/>
            <w:r w:rsidRPr="00D315DA">
              <w:rPr>
                <w:rFonts w:asciiTheme="majorHAnsi" w:hAnsiTheme="majorHAnsi" w:cstheme="majorHAnsi"/>
              </w:rPr>
              <w:t>Uma</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rPr>
              <w:t>revisao</w:t>
            </w:r>
            <w:proofErr w:type="spellEnd"/>
            <w:r w:rsidRPr="00D315DA">
              <w:rPr>
                <w:rFonts w:asciiTheme="majorHAnsi" w:hAnsiTheme="majorHAnsi" w:cstheme="majorHAnsi"/>
              </w:rPr>
              <w:t xml:space="preserve"> sobre os </w:t>
            </w:r>
            <w:proofErr w:type="spellStart"/>
            <w:r w:rsidRPr="00D315DA">
              <w:rPr>
                <w:rFonts w:asciiTheme="majorHAnsi" w:hAnsiTheme="majorHAnsi" w:cstheme="majorHAnsi"/>
              </w:rPr>
              <w:t>conceitos</w:t>
            </w:r>
            <w:proofErr w:type="spellEnd"/>
            <w:r w:rsidRPr="00D315DA">
              <w:rPr>
                <w:rFonts w:asciiTheme="majorHAnsi" w:hAnsiTheme="majorHAnsi" w:cstheme="majorHAnsi"/>
              </w:rPr>
              <w:t xml:space="preserve"> de </w:t>
            </w:r>
            <w:proofErr w:type="spellStart"/>
            <w:r w:rsidRPr="00D315DA">
              <w:rPr>
                <w:rFonts w:asciiTheme="majorHAnsi" w:hAnsiTheme="majorHAnsi" w:cstheme="majorHAnsi"/>
              </w:rPr>
              <w:t>acesso</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rPr>
              <w:t>ae</w:t>
            </w:r>
            <w:proofErr w:type="spellEnd"/>
            <w:r w:rsidRPr="00D315DA">
              <w:rPr>
                <w:rFonts w:asciiTheme="majorHAnsi" w:hAnsiTheme="majorHAnsi" w:cstheme="majorHAnsi"/>
              </w:rPr>
              <w:t xml:space="preserve"> </w:t>
            </w:r>
            <w:proofErr w:type="spellStart"/>
            <w:r w:rsidRPr="00D315DA">
              <w:rPr>
                <w:rFonts w:asciiTheme="majorHAnsi" w:hAnsiTheme="majorHAnsi" w:cstheme="majorHAnsi"/>
              </w:rPr>
              <w:t>utilizaçao</w:t>
            </w:r>
            <w:proofErr w:type="spellEnd"/>
            <w:r w:rsidRPr="00D315DA">
              <w:rPr>
                <w:rFonts w:asciiTheme="majorHAnsi" w:hAnsiTheme="majorHAnsi" w:cstheme="majorHAnsi"/>
              </w:rPr>
              <w:t xml:space="preserve"> de </w:t>
            </w:r>
            <w:proofErr w:type="spellStart"/>
            <w:r w:rsidRPr="00D315DA">
              <w:rPr>
                <w:rFonts w:asciiTheme="majorHAnsi" w:hAnsiTheme="majorHAnsi" w:cstheme="majorHAnsi"/>
              </w:rPr>
              <w:t>serviços</w:t>
            </w:r>
            <w:proofErr w:type="spellEnd"/>
            <w:r w:rsidRPr="00D315DA">
              <w:rPr>
                <w:rFonts w:asciiTheme="majorHAnsi" w:hAnsiTheme="majorHAnsi" w:cstheme="majorHAnsi"/>
              </w:rPr>
              <w:t xml:space="preserve"> de </w:t>
            </w:r>
            <w:proofErr w:type="spellStart"/>
            <w:r w:rsidRPr="00D315DA">
              <w:rPr>
                <w:rFonts w:asciiTheme="majorHAnsi" w:hAnsiTheme="majorHAnsi" w:cstheme="majorHAnsi"/>
              </w:rPr>
              <w:t>saúde</w:t>
            </w:r>
            <w:proofErr w:type="spellEnd"/>
            <w:r w:rsidRPr="00D315DA">
              <w:rPr>
                <w:rFonts w:asciiTheme="majorHAnsi" w:hAnsiTheme="majorHAnsi" w:cstheme="majorHAnsi"/>
              </w:rPr>
              <w:t xml:space="preserve"> en: </w:t>
            </w:r>
            <w:proofErr w:type="spellStart"/>
            <w:r w:rsidRPr="00D315DA">
              <w:rPr>
                <w:rFonts w:asciiTheme="majorHAnsi" w:hAnsiTheme="majorHAnsi" w:cstheme="majorHAnsi"/>
              </w:rPr>
              <w:t>Cad</w:t>
            </w:r>
            <w:proofErr w:type="spellEnd"/>
            <w:r w:rsidRPr="00D315DA">
              <w:rPr>
                <w:rFonts w:asciiTheme="majorHAnsi" w:hAnsiTheme="majorHAnsi" w:cstheme="majorHAnsi"/>
              </w:rPr>
              <w:t xml:space="preserve"> de Salud Pública, Rio de Janeiro, </w:t>
            </w:r>
            <w:proofErr w:type="spellStart"/>
            <w:r w:rsidRPr="00D315DA">
              <w:rPr>
                <w:rFonts w:asciiTheme="majorHAnsi" w:hAnsiTheme="majorHAnsi" w:cstheme="majorHAnsi"/>
              </w:rPr>
              <w:t>Sup</w:t>
            </w:r>
            <w:proofErr w:type="spellEnd"/>
            <w:r w:rsidRPr="00D315DA">
              <w:rPr>
                <w:rFonts w:asciiTheme="majorHAnsi" w:hAnsiTheme="majorHAnsi" w:cstheme="majorHAnsi"/>
              </w:rPr>
              <w:t xml:space="preserve"> s190-s198.                                                 Valencia, S. </w:t>
            </w:r>
            <w:r w:rsidRPr="00D315DA">
              <w:rPr>
                <w:rFonts w:asciiTheme="majorHAnsi" w:hAnsiTheme="majorHAnsi" w:cstheme="majorHAnsi"/>
                <w:color w:val="000000"/>
              </w:rPr>
              <w:t xml:space="preserve">(2010) Capitalismo Gore España, </w:t>
            </w:r>
            <w:r w:rsidRPr="00D315DA">
              <w:rPr>
                <w:rFonts w:asciiTheme="majorHAnsi" w:hAnsiTheme="majorHAnsi" w:cstheme="majorHAnsi"/>
                <w:color w:val="000000"/>
                <w:highlight w:val="white"/>
              </w:rPr>
              <w:t xml:space="preserve">Editorial </w:t>
            </w:r>
            <w:proofErr w:type="spellStart"/>
            <w:r w:rsidRPr="00D315DA">
              <w:rPr>
                <w:rFonts w:asciiTheme="majorHAnsi" w:hAnsiTheme="majorHAnsi" w:cstheme="majorHAnsi"/>
                <w:color w:val="000000"/>
                <w:highlight w:val="white"/>
              </w:rPr>
              <w:t>Melusina</w:t>
            </w:r>
            <w:proofErr w:type="spellEnd"/>
            <w:r>
              <w:rPr>
                <w:color w:val="000000"/>
                <w:highlight w:val="white"/>
              </w:rPr>
              <w:t>.</w:t>
            </w:r>
          </w:p>
        </w:tc>
      </w:tr>
    </w:tbl>
    <w:p w:rsidR="009F7D35" w:rsidRDefault="009F7D35" w:rsidP="009F7D35">
      <w:pPr>
        <w:pStyle w:val="Ttulo1"/>
        <w:rPr>
          <w:sz w:val="36"/>
          <w:szCs w:val="36"/>
        </w:rPr>
      </w:pPr>
      <w:bookmarkStart w:id="8" w:name="_heading=h.1t3h5sf" w:colFirst="0" w:colLast="0"/>
      <w:bookmarkEnd w:id="8"/>
      <w:r>
        <w:rPr>
          <w:sz w:val="36"/>
          <w:szCs w:val="36"/>
        </w:rPr>
        <w:lastRenderedPageBreak/>
        <w:t>7. MODALIDAD DE DICTADO</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F7D35" w:rsidTr="004450D7">
        <w:trPr>
          <w:jc w:val="center"/>
        </w:trPr>
        <w:tc>
          <w:tcPr>
            <w:tcW w:w="2835" w:type="dxa"/>
            <w:shd w:val="clear" w:color="auto" w:fill="B7B7B7"/>
            <w:tcMar>
              <w:top w:w="100" w:type="dxa"/>
              <w:left w:w="100" w:type="dxa"/>
              <w:bottom w:w="100" w:type="dxa"/>
              <w:right w:w="100" w:type="dxa"/>
            </w:tcMar>
          </w:tcPr>
          <w:p w:rsidR="009F7D35" w:rsidRDefault="009F7D35" w:rsidP="004450D7">
            <w:pPr>
              <w:widowControl w:val="0"/>
              <w:pBdr>
                <w:top w:val="nil"/>
                <w:left w:val="nil"/>
                <w:bottom w:val="nil"/>
                <w:right w:val="nil"/>
                <w:between w:val="nil"/>
              </w:pBdr>
              <w:jc w:val="center"/>
              <w:rPr>
                <w:b/>
              </w:rPr>
            </w:pPr>
            <w:r>
              <w:rPr>
                <w:b/>
              </w:rPr>
              <w:t>PRESENCIAL</w:t>
            </w:r>
          </w:p>
        </w:tc>
        <w:tc>
          <w:tcPr>
            <w:tcW w:w="2835" w:type="dxa"/>
            <w:shd w:val="clear" w:color="auto" w:fill="B7B7B7"/>
            <w:tcMar>
              <w:top w:w="100" w:type="dxa"/>
              <w:left w:w="100" w:type="dxa"/>
              <w:bottom w:w="100" w:type="dxa"/>
              <w:right w:w="100" w:type="dxa"/>
            </w:tcMar>
          </w:tcPr>
          <w:p w:rsidR="009F7D35" w:rsidRDefault="009F7D35" w:rsidP="004450D7">
            <w:pPr>
              <w:widowControl w:val="0"/>
              <w:jc w:val="center"/>
              <w:rPr>
                <w:b/>
              </w:rPr>
            </w:pPr>
            <w:r>
              <w:rPr>
                <w:b/>
              </w:rPr>
              <w:t>VIRTUAL</w:t>
            </w:r>
          </w:p>
        </w:tc>
        <w:tc>
          <w:tcPr>
            <w:tcW w:w="2835" w:type="dxa"/>
            <w:shd w:val="clear" w:color="auto" w:fill="B7B7B7"/>
            <w:tcMar>
              <w:top w:w="100" w:type="dxa"/>
              <w:left w:w="100" w:type="dxa"/>
              <w:bottom w:w="100" w:type="dxa"/>
              <w:right w:w="100" w:type="dxa"/>
            </w:tcMar>
          </w:tcPr>
          <w:p w:rsidR="009F7D35" w:rsidRDefault="009F7D35" w:rsidP="004450D7">
            <w:pPr>
              <w:widowControl w:val="0"/>
              <w:pBdr>
                <w:top w:val="nil"/>
                <w:left w:val="nil"/>
                <w:bottom w:val="nil"/>
                <w:right w:val="nil"/>
                <w:between w:val="nil"/>
              </w:pBdr>
              <w:jc w:val="center"/>
              <w:rPr>
                <w:b/>
              </w:rPr>
            </w:pPr>
            <w:r>
              <w:rPr>
                <w:b/>
              </w:rPr>
              <w:t>SEMI-PRESENCIAL</w:t>
            </w:r>
          </w:p>
        </w:tc>
      </w:tr>
      <w:tr w:rsidR="009F7D35" w:rsidTr="004450D7">
        <w:trPr>
          <w:jc w:val="center"/>
        </w:trPr>
        <w:tc>
          <w:tcPr>
            <w:tcW w:w="2835" w:type="dxa"/>
            <w:shd w:val="clear" w:color="auto" w:fill="auto"/>
            <w:tcMar>
              <w:top w:w="100" w:type="dxa"/>
              <w:left w:w="100" w:type="dxa"/>
              <w:bottom w:w="100" w:type="dxa"/>
              <w:right w:w="100" w:type="dxa"/>
            </w:tcMar>
          </w:tcPr>
          <w:p w:rsidR="009F7D35" w:rsidRDefault="009F7D35" w:rsidP="004450D7">
            <w:pPr>
              <w:widowControl w:val="0"/>
              <w:pBdr>
                <w:top w:val="nil"/>
                <w:left w:val="nil"/>
                <w:bottom w:val="nil"/>
                <w:right w:val="nil"/>
                <w:between w:val="nil"/>
              </w:pBdr>
              <w:jc w:val="center"/>
            </w:pPr>
          </w:p>
        </w:tc>
        <w:tc>
          <w:tcPr>
            <w:tcW w:w="2835" w:type="dxa"/>
            <w:shd w:val="clear" w:color="auto" w:fill="auto"/>
            <w:tcMar>
              <w:top w:w="100" w:type="dxa"/>
              <w:left w:w="100" w:type="dxa"/>
              <w:bottom w:w="100" w:type="dxa"/>
              <w:right w:w="100" w:type="dxa"/>
            </w:tcMar>
          </w:tcPr>
          <w:p w:rsidR="009F7D35" w:rsidRDefault="009F7D35" w:rsidP="004450D7">
            <w:pPr>
              <w:widowControl w:val="0"/>
              <w:pBdr>
                <w:top w:val="nil"/>
                <w:left w:val="nil"/>
                <w:bottom w:val="nil"/>
                <w:right w:val="nil"/>
                <w:between w:val="nil"/>
              </w:pBdr>
              <w:jc w:val="center"/>
            </w:pPr>
            <w:r>
              <w:t>X</w:t>
            </w:r>
          </w:p>
        </w:tc>
        <w:tc>
          <w:tcPr>
            <w:tcW w:w="2835" w:type="dxa"/>
            <w:shd w:val="clear" w:color="auto" w:fill="auto"/>
            <w:tcMar>
              <w:top w:w="100" w:type="dxa"/>
              <w:left w:w="100" w:type="dxa"/>
              <w:bottom w:w="100" w:type="dxa"/>
              <w:right w:w="100" w:type="dxa"/>
            </w:tcMar>
          </w:tcPr>
          <w:p w:rsidR="009F7D35" w:rsidRDefault="009F7D35" w:rsidP="004450D7">
            <w:pPr>
              <w:widowControl w:val="0"/>
              <w:pBdr>
                <w:top w:val="nil"/>
                <w:left w:val="nil"/>
                <w:bottom w:val="nil"/>
                <w:right w:val="nil"/>
                <w:between w:val="nil"/>
              </w:pBdr>
              <w:jc w:val="center"/>
            </w:pPr>
          </w:p>
        </w:tc>
      </w:tr>
    </w:tbl>
    <w:p w:rsidR="009F7D35" w:rsidRDefault="009F7D35" w:rsidP="009F7D35">
      <w:pPr>
        <w:pStyle w:val="Ttulo1"/>
        <w:rPr>
          <w:sz w:val="36"/>
          <w:szCs w:val="36"/>
        </w:rPr>
      </w:pPr>
      <w:bookmarkStart w:id="9" w:name="_heading=h.byp9i53gzqjn" w:colFirst="0" w:colLast="0"/>
      <w:bookmarkEnd w:id="9"/>
      <w:r>
        <w:rPr>
          <w:sz w:val="36"/>
          <w:szCs w:val="36"/>
        </w:rPr>
        <w:t>8. MODALIDAD DE EVALUACIÓN</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Default="009F7D35" w:rsidP="004450D7">
            <w:pPr>
              <w:widowControl w:val="0"/>
            </w:pPr>
            <w:r>
              <w:t>Requisitos de aprobación del curso:</w:t>
            </w:r>
          </w:p>
          <w:p w:rsidR="009F7D35" w:rsidRDefault="009F7D35" w:rsidP="004450D7">
            <w:pPr>
              <w:widowControl w:val="0"/>
            </w:pPr>
            <w:r>
              <w:t>- Asistencia al 75% de las clases</w:t>
            </w:r>
          </w:p>
          <w:p w:rsidR="009F7D35" w:rsidRDefault="009F7D35" w:rsidP="004450D7">
            <w:pPr>
              <w:widowControl w:val="0"/>
            </w:pPr>
            <w:r>
              <w:lastRenderedPageBreak/>
              <w:t>- Participación en el 75% en las actividades propuestas en el campus y otros con compromiso de lectura de la bibliografía sugerida.</w:t>
            </w:r>
          </w:p>
        </w:tc>
      </w:tr>
    </w:tbl>
    <w:p w:rsidR="009F7D35" w:rsidRDefault="009F7D35" w:rsidP="009F7D35">
      <w:pPr>
        <w:pStyle w:val="Ttulo1"/>
        <w:rPr>
          <w:sz w:val="36"/>
          <w:szCs w:val="36"/>
        </w:rPr>
      </w:pPr>
      <w:bookmarkStart w:id="10" w:name="_heading=h.2s8eyo1" w:colFirst="0" w:colLast="0"/>
      <w:bookmarkEnd w:id="10"/>
      <w:r>
        <w:rPr>
          <w:sz w:val="36"/>
          <w:szCs w:val="36"/>
        </w:rPr>
        <w:lastRenderedPageBreak/>
        <w:t>9. ELEMENTOS NECESARIOS PARA EL DICTADO DEL CURSO</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Default="009F7D35" w:rsidP="004450D7">
            <w:pPr>
              <w:widowControl w:val="0"/>
            </w:pPr>
            <w:bookmarkStart w:id="11" w:name="_heading=h.4d34og8" w:colFirst="0" w:colLast="0"/>
            <w:bookmarkEnd w:id="11"/>
            <w:r>
              <w:t>Aula en el campus virtual durante toda la cursada</w:t>
            </w:r>
          </w:p>
        </w:tc>
      </w:tr>
    </w:tbl>
    <w:p w:rsidR="009F7D35" w:rsidRDefault="009F7D35" w:rsidP="009F7D35">
      <w:pPr>
        <w:pStyle w:val="Ttulo1"/>
        <w:rPr>
          <w:sz w:val="36"/>
          <w:szCs w:val="36"/>
        </w:rPr>
      </w:pPr>
      <w:bookmarkStart w:id="12" w:name="_heading=h.17dp8vu" w:colFirst="0" w:colLast="0"/>
      <w:bookmarkEnd w:id="12"/>
      <w:r>
        <w:rPr>
          <w:sz w:val="36"/>
          <w:szCs w:val="36"/>
        </w:rPr>
        <w:t>10. DURACIÓN, DÍAS Y HORARIOS PROPUESTOS</w:t>
      </w:r>
    </w:p>
    <w:p w:rsidR="009F7D35" w:rsidRDefault="009F7D35" w:rsidP="009F7D35">
      <w:pPr>
        <w:jc w:val="both"/>
      </w:pPr>
      <w:r>
        <w:t xml:space="preserve">El curso se dictará de manera virtual durante 27 </w:t>
      </w:r>
      <w:proofErr w:type="spellStart"/>
      <w:r>
        <w:t>hs</w:t>
      </w:r>
      <w:proofErr w:type="spellEnd"/>
      <w:r>
        <w:t xml:space="preserve"> distribuidas en 9 clases semanales 6 de las cuales serán sincrónicas y 3 asincrónicas. Las mismas se desarrollarán los días </w:t>
      </w:r>
      <w:r w:rsidRPr="001D7C67">
        <w:t>lunes de 18 a 21 horas.</w:t>
      </w:r>
      <w:r>
        <w:t xml:space="preserve"> </w:t>
      </w:r>
    </w:p>
    <w:p w:rsidR="009F7D35" w:rsidRDefault="009F7D35" w:rsidP="009F7D35">
      <w:pPr>
        <w:pStyle w:val="Ttulo2"/>
        <w:rPr>
          <w:sz w:val="32"/>
          <w:szCs w:val="32"/>
        </w:rPr>
      </w:pPr>
      <w:bookmarkStart w:id="13" w:name="_heading=h.3rdcrjn" w:colFirst="0" w:colLast="0"/>
      <w:bookmarkEnd w:id="13"/>
      <w:r>
        <w:rPr>
          <w:sz w:val="32"/>
          <w:szCs w:val="32"/>
        </w:rPr>
        <w:t>10.1. DURACIÓN</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9F7D35" w:rsidTr="004450D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rsidR="009F7D35" w:rsidRDefault="009F7D35" w:rsidP="004450D7">
            <w:pPr>
              <w:jc w:val="center"/>
              <w:rPr>
                <w:b/>
                <w:sz w:val="28"/>
                <w:szCs w:val="28"/>
              </w:rPr>
            </w:pPr>
            <w:r>
              <w:rPr>
                <w:b/>
                <w:sz w:val="28"/>
                <w:szCs w:val="28"/>
              </w:rPr>
              <w:t>CARGA HORARIA</w:t>
            </w:r>
          </w:p>
        </w:tc>
      </w:tr>
      <w:tr w:rsidR="009F7D35" w:rsidTr="004450D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F7D35" w:rsidRDefault="009F7D35" w:rsidP="004450D7">
            <w:pPr>
              <w:jc w:val="center"/>
              <w:rPr>
                <w:b/>
              </w:rPr>
            </w:pPr>
            <w:r>
              <w:rPr>
                <w:b/>
              </w:rPr>
              <w:t>CARGA HORARIA TOTAL</w:t>
            </w:r>
          </w:p>
        </w:tc>
      </w:tr>
      <w:tr w:rsidR="009F7D35" w:rsidTr="004450D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F7D35" w:rsidRDefault="009F7D35" w:rsidP="004450D7">
            <w:pPr>
              <w:jc w:val="center"/>
              <w:rPr>
                <w:b/>
              </w:rPr>
            </w:pPr>
            <w:r>
              <w:rPr>
                <w:b/>
              </w:rPr>
              <w:t>27</w:t>
            </w:r>
          </w:p>
        </w:tc>
      </w:tr>
      <w:tr w:rsidR="009F7D35" w:rsidTr="004450D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F7D35" w:rsidRDefault="009F7D35" w:rsidP="004450D7">
            <w:pPr>
              <w:jc w:val="center"/>
              <w:rPr>
                <w:b/>
              </w:rPr>
            </w:pPr>
            <w:r>
              <w:rPr>
                <w:b/>
              </w:rPr>
              <w:t>CANTIDAD DE CLASES TOTALES</w:t>
            </w:r>
          </w:p>
        </w:tc>
      </w:tr>
      <w:tr w:rsidR="009F7D35" w:rsidTr="004450D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F7D35" w:rsidRDefault="009F7D35" w:rsidP="004450D7">
            <w:pPr>
              <w:jc w:val="center"/>
              <w:rPr>
                <w:b/>
              </w:rPr>
            </w:pPr>
            <w:r>
              <w:rPr>
                <w:b/>
              </w:rPr>
              <w:t>9</w:t>
            </w:r>
          </w:p>
        </w:tc>
      </w:tr>
      <w:tr w:rsidR="009F7D35" w:rsidTr="004450D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F7D35" w:rsidRDefault="009F7D35" w:rsidP="004450D7">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rsidR="009F7D35" w:rsidRDefault="009F7D35" w:rsidP="004450D7">
            <w:pPr>
              <w:jc w:val="center"/>
              <w:rPr>
                <w:b/>
              </w:rPr>
            </w:pPr>
            <w:r>
              <w:rPr>
                <w:b/>
              </w:rPr>
              <w:t>ASINCRÓNICA</w:t>
            </w:r>
          </w:p>
        </w:tc>
      </w:tr>
      <w:tr w:rsidR="009F7D35" w:rsidTr="004450D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7D35" w:rsidRDefault="009F7D35" w:rsidP="004450D7">
            <w:pPr>
              <w:jc w:val="both"/>
              <w:rPr>
                <w:b/>
              </w:rPr>
            </w:pPr>
            <w:r>
              <w:rPr>
                <w:b/>
              </w:rPr>
              <w:t>6</w:t>
            </w:r>
          </w:p>
        </w:tc>
        <w:tc>
          <w:tcPr>
            <w:tcW w:w="4294" w:type="dxa"/>
            <w:tcBorders>
              <w:top w:val="single" w:sz="4" w:space="0" w:color="000000"/>
              <w:left w:val="single" w:sz="4" w:space="0" w:color="000000"/>
              <w:bottom w:val="single" w:sz="4" w:space="0" w:color="000000"/>
            </w:tcBorders>
            <w:shd w:val="clear" w:color="auto" w:fill="auto"/>
          </w:tcPr>
          <w:p w:rsidR="009F7D35" w:rsidRDefault="009F7D35" w:rsidP="004450D7">
            <w:pPr>
              <w:jc w:val="both"/>
              <w:rPr>
                <w:b/>
              </w:rPr>
            </w:pPr>
            <w:r>
              <w:rPr>
                <w:b/>
              </w:rPr>
              <w:t>3</w:t>
            </w:r>
          </w:p>
        </w:tc>
      </w:tr>
    </w:tbl>
    <w:p w:rsidR="009F7D35" w:rsidRDefault="009F7D35" w:rsidP="009F7D35">
      <w:pPr>
        <w:pStyle w:val="Ttulo2"/>
        <w:jc w:val="both"/>
        <w:rPr>
          <w:sz w:val="32"/>
          <w:szCs w:val="32"/>
        </w:rPr>
      </w:pPr>
      <w:bookmarkStart w:id="14" w:name="_heading=h.f6blxplsc7mi" w:colFirst="0" w:colLast="0"/>
      <w:bookmarkEnd w:id="14"/>
      <w:r>
        <w:rPr>
          <w:sz w:val="32"/>
          <w:szCs w:val="32"/>
        </w:rPr>
        <w:t>10.1. CRONOGRAMA</w:t>
      </w:r>
    </w:p>
    <w:p w:rsidR="009F7D35" w:rsidRDefault="009F7D35" w:rsidP="009F7D35">
      <w:pPr>
        <w:jc w:val="both"/>
      </w:pPr>
      <w:r>
        <w:t>Clase 1: Los feminismos y la perspectiva de género en el campo de la salud.  El impacto de las violencias en la salud desde un enfoque de género. Magnitud y sistemas de registro de la violencia.</w:t>
      </w:r>
    </w:p>
    <w:p w:rsidR="009F7D35" w:rsidRDefault="009F7D35" w:rsidP="009F7D35">
      <w:pPr>
        <w:jc w:val="both"/>
      </w:pPr>
      <w:r>
        <w:t xml:space="preserve">Clase 2: La violencia como problema de derechos humanos El marco normativo.  Las violencias. Las múltiples clasificaciones, enfoques y modelos explicativos. </w:t>
      </w:r>
    </w:p>
    <w:p w:rsidR="009F7D35" w:rsidRPr="00D315DA" w:rsidRDefault="009F7D35" w:rsidP="009F7D35">
      <w:pPr>
        <w:jc w:val="both"/>
      </w:pPr>
      <w:r w:rsidRPr="00D315DA">
        <w:t xml:space="preserve">Clase  3: Violencias Situadas. Diversidad corporal y funcional, </w:t>
      </w:r>
      <w:r>
        <w:t xml:space="preserve">situaciones de </w:t>
      </w:r>
      <w:r w:rsidRPr="00D315DA">
        <w:t>encierro</w:t>
      </w:r>
      <w:r>
        <w:t xml:space="preserve"> y contextos migratorios</w:t>
      </w:r>
      <w:r w:rsidRPr="00D315DA">
        <w:t>.</w:t>
      </w:r>
    </w:p>
    <w:p w:rsidR="009F7D35" w:rsidRDefault="009F7D35" w:rsidP="009F7D35">
      <w:pPr>
        <w:jc w:val="both"/>
      </w:pPr>
      <w:r>
        <w:t>Clase 4:</w:t>
      </w:r>
      <w:r w:rsidRPr="00B77FAE">
        <w:t xml:space="preserve"> </w:t>
      </w:r>
      <w:r>
        <w:t xml:space="preserve">Crueldad y ensañamiento en los vínculos íntimos. Raíces </w:t>
      </w:r>
      <w:proofErr w:type="gramStart"/>
      <w:r>
        <w:t>históricas</w:t>
      </w:r>
      <w:proofErr w:type="gramEnd"/>
      <w:r>
        <w:t xml:space="preserve">. Violencia sexual. </w:t>
      </w:r>
      <w:proofErr w:type="spellStart"/>
      <w:r>
        <w:t>Femicidio</w:t>
      </w:r>
      <w:proofErr w:type="spellEnd"/>
      <w:r>
        <w:t xml:space="preserve">, feminicidio y </w:t>
      </w:r>
      <w:proofErr w:type="spellStart"/>
      <w:proofErr w:type="gramStart"/>
      <w:r>
        <w:t>femi</w:t>
      </w:r>
      <w:proofErr w:type="spellEnd"/>
      <w:r>
        <w:t>(</w:t>
      </w:r>
      <w:proofErr w:type="spellStart"/>
      <w:proofErr w:type="gramEnd"/>
      <w:r>
        <w:t>geno</w:t>
      </w:r>
      <w:proofErr w:type="spellEnd"/>
      <w:r>
        <w:t>)</w:t>
      </w:r>
      <w:proofErr w:type="spellStart"/>
      <w:r>
        <w:t>cidio</w:t>
      </w:r>
      <w:proofErr w:type="spellEnd"/>
      <w:r>
        <w:t xml:space="preserve">.  Expresividad </w:t>
      </w:r>
      <w:proofErr w:type="spellStart"/>
      <w:r>
        <w:t>Biopoder</w:t>
      </w:r>
      <w:proofErr w:type="spellEnd"/>
      <w:r>
        <w:t xml:space="preserve"> y </w:t>
      </w:r>
      <w:proofErr w:type="spellStart"/>
      <w:r>
        <w:t>Necropoder</w:t>
      </w:r>
      <w:proofErr w:type="spellEnd"/>
      <w:r>
        <w:t xml:space="preserve">. </w:t>
      </w:r>
    </w:p>
    <w:p w:rsidR="009F7D35" w:rsidRPr="00D315DA" w:rsidRDefault="009F7D35" w:rsidP="009F7D35">
      <w:pPr>
        <w:jc w:val="both"/>
      </w:pPr>
      <w:r w:rsidRPr="00D315DA">
        <w:lastRenderedPageBreak/>
        <w:t xml:space="preserve">Clase 5: Violencia Vicaria como violencia por razones de género. </w:t>
      </w:r>
    </w:p>
    <w:p w:rsidR="009F7D35" w:rsidRDefault="009F7D35" w:rsidP="009F7D35">
      <w:pPr>
        <w:jc w:val="both"/>
      </w:pPr>
      <w:r>
        <w:t xml:space="preserve">Clase  6: Trayectorias de las mujeres en situación de violencia. Medicalización de la violencia. Relaciones entre servicios de salud y sistema de justicia. </w:t>
      </w:r>
    </w:p>
    <w:p w:rsidR="009F7D35" w:rsidRPr="00D315DA" w:rsidRDefault="009F7D35" w:rsidP="009F7D35">
      <w:pPr>
        <w:jc w:val="both"/>
      </w:pPr>
      <w:r w:rsidRPr="00D315DA">
        <w:t>Clase 7: Violencia digital y activismos digitales.</w:t>
      </w:r>
    </w:p>
    <w:p w:rsidR="009F7D35" w:rsidRDefault="009F7D35" w:rsidP="009F7D35">
      <w:pPr>
        <w:jc w:val="both"/>
      </w:pPr>
      <w:r>
        <w:t xml:space="preserve">Clase 8: Las mujeres migrantes  y  la  violencia  de  género. La perspectiva </w:t>
      </w:r>
      <w:proofErr w:type="spellStart"/>
      <w:r>
        <w:t>interseccional</w:t>
      </w:r>
      <w:proofErr w:type="spellEnd"/>
      <w:r>
        <w:t xml:space="preserve"> como estrategia de análisis e  intervención en el campo de las violencias.</w:t>
      </w:r>
    </w:p>
    <w:p w:rsidR="009F7D35" w:rsidRDefault="009F7D35" w:rsidP="009F7D35">
      <w:pPr>
        <w:jc w:val="both"/>
      </w:pPr>
      <w:r>
        <w:t xml:space="preserve">Clase 9: Servicios de salud y reproducción de las violencias.  La perspectiva de género en los sistemas de detección, atención, registro e información. </w:t>
      </w:r>
      <w:r>
        <w:rPr>
          <w:color w:val="000000"/>
        </w:rPr>
        <w:t xml:space="preserve">Herramientas para el abordaje de las violencias. </w:t>
      </w:r>
      <w:r>
        <w:t xml:space="preserve">Evaluación de riesgos y  protocolos de actuación y modelos de abordaje. </w:t>
      </w:r>
    </w:p>
    <w:p w:rsidR="009F7D35" w:rsidRDefault="009F7D35" w:rsidP="009F7D35">
      <w:pPr>
        <w:pStyle w:val="Ttulo1"/>
        <w:rPr>
          <w:sz w:val="36"/>
          <w:szCs w:val="36"/>
        </w:rPr>
      </w:pPr>
      <w:bookmarkStart w:id="15" w:name="_heading=h.gidqewpbczbn" w:colFirst="0" w:colLast="0"/>
      <w:bookmarkEnd w:id="15"/>
      <w:r>
        <w:rPr>
          <w:sz w:val="36"/>
          <w:szCs w:val="36"/>
        </w:rPr>
        <w:t>11. REQUISITOS MÍNIMOS DE INSCRIPCIÓN</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F7D35" w:rsidTr="004450D7">
        <w:tc>
          <w:tcPr>
            <w:tcW w:w="8505" w:type="dxa"/>
            <w:shd w:val="clear" w:color="auto" w:fill="auto"/>
            <w:tcMar>
              <w:top w:w="100" w:type="dxa"/>
              <w:left w:w="100" w:type="dxa"/>
              <w:bottom w:w="100" w:type="dxa"/>
              <w:right w:w="100" w:type="dxa"/>
            </w:tcMar>
          </w:tcPr>
          <w:p w:rsidR="009F7D35" w:rsidRDefault="009F7D35" w:rsidP="004450D7">
            <w:pPr>
              <w:widowControl w:val="0"/>
            </w:pPr>
            <w:r>
              <w:t>Sin requisitos</w:t>
            </w:r>
          </w:p>
        </w:tc>
      </w:tr>
    </w:tbl>
    <w:p w:rsidR="008C57EE" w:rsidRDefault="008C57EE" w:rsidP="009F7D35">
      <w:bookmarkStart w:id="16" w:name="_heading=h.44sinio" w:colFirst="0" w:colLast="0"/>
      <w:bookmarkStart w:id="17" w:name="_heading=h.dulkmn190w4k" w:colFirst="0" w:colLast="0"/>
      <w:bookmarkStart w:id="18" w:name="_heading=h.ikdy11ws0xly" w:colFirst="0" w:colLast="0"/>
      <w:bookmarkStart w:id="19" w:name="_GoBack"/>
      <w:bookmarkEnd w:id="16"/>
      <w:bookmarkEnd w:id="17"/>
      <w:bookmarkEnd w:id="18"/>
      <w:bookmarkEnd w:id="19"/>
    </w:p>
    <w:sectPr w:rsidR="008C57EE" w:rsidSect="00FB5ACF">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EA" w:rsidRDefault="00ED0AEA" w:rsidP="008C57EE">
      <w:r>
        <w:separator/>
      </w:r>
    </w:p>
  </w:endnote>
  <w:endnote w:type="continuationSeparator" w:id="0">
    <w:p w:rsidR="00ED0AEA" w:rsidRDefault="00ED0AEA" w:rsidP="008C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EA" w:rsidRDefault="00ED0AEA" w:rsidP="008C57EE">
      <w:r>
        <w:separator/>
      </w:r>
    </w:p>
  </w:footnote>
  <w:footnote w:type="continuationSeparator" w:id="0">
    <w:p w:rsidR="00ED0AEA" w:rsidRDefault="00ED0AEA" w:rsidP="008C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EE" w:rsidRDefault="008C57EE">
    <w:pPr>
      <w:pStyle w:val="Encabezado"/>
    </w:pPr>
    <w:r>
      <w:rPr>
        <w:noProof/>
        <w:lang w:val="es-AR" w:eastAsia="es-AR"/>
      </w:rPr>
      <w:drawing>
        <wp:anchor distT="0" distB="0" distL="114300" distR="114300" simplePos="0" relativeHeight="251658240" behindDoc="1" locked="0" layoutInCell="1" allowOverlap="1">
          <wp:simplePos x="0" y="0"/>
          <wp:positionH relativeFrom="column">
            <wp:posOffset>-1417320</wp:posOffset>
          </wp:positionH>
          <wp:positionV relativeFrom="paragraph">
            <wp:posOffset>-595271</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p w:rsidR="008C57EE" w:rsidRDefault="008C57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EE"/>
    <w:rsid w:val="002D3AB3"/>
    <w:rsid w:val="005823FB"/>
    <w:rsid w:val="008C57EE"/>
    <w:rsid w:val="009F7D35"/>
    <w:rsid w:val="00A71DD9"/>
    <w:rsid w:val="00ED0AEA"/>
    <w:rsid w:val="00FB5A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link w:val="Ttulo1Car"/>
    <w:rsid w:val="009F7D35"/>
    <w:pPr>
      <w:keepNext/>
      <w:keepLines/>
      <w:spacing w:before="480" w:after="120" w:line="276" w:lineRule="auto"/>
      <w:outlineLvl w:val="0"/>
    </w:pPr>
    <w:rPr>
      <w:rFonts w:ascii="Calibri" w:eastAsia="Calibri" w:hAnsi="Calibri" w:cs="Calibri"/>
      <w:b/>
      <w:sz w:val="48"/>
      <w:szCs w:val="48"/>
      <w:lang w:val="es-AR" w:eastAsia="es-ES"/>
    </w:rPr>
  </w:style>
  <w:style w:type="paragraph" w:styleId="Ttulo2">
    <w:name w:val="heading 2"/>
    <w:basedOn w:val="Normal"/>
    <w:next w:val="Normal"/>
    <w:link w:val="Ttulo2Car"/>
    <w:rsid w:val="009F7D35"/>
    <w:pPr>
      <w:keepNext/>
      <w:keepLines/>
      <w:spacing w:before="360" w:after="80" w:line="276" w:lineRule="auto"/>
      <w:outlineLvl w:val="1"/>
    </w:pPr>
    <w:rPr>
      <w:rFonts w:ascii="Calibri" w:eastAsia="Calibri" w:hAnsi="Calibri" w:cs="Calibri"/>
      <w:b/>
      <w:sz w:val="36"/>
      <w:szCs w:val="36"/>
      <w:lang w:val="es-AR" w:eastAsia="es-ES"/>
    </w:rPr>
  </w:style>
  <w:style w:type="paragraph" w:styleId="Ttulo5">
    <w:name w:val="heading 5"/>
    <w:basedOn w:val="Normal"/>
    <w:next w:val="Normal"/>
    <w:link w:val="Ttulo5Car"/>
    <w:rsid w:val="009F7D35"/>
    <w:pPr>
      <w:keepNext/>
      <w:keepLines/>
      <w:spacing w:before="220" w:after="40" w:line="276" w:lineRule="auto"/>
      <w:outlineLvl w:val="4"/>
    </w:pPr>
    <w:rPr>
      <w:rFonts w:ascii="Calibri" w:eastAsia="Calibri" w:hAnsi="Calibri" w:cs="Calibri"/>
      <w:b/>
      <w:sz w:val="22"/>
      <w:szCs w:val="22"/>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 w:type="character" w:customStyle="1" w:styleId="Ttulo1Car">
    <w:name w:val="Título 1 Car"/>
    <w:basedOn w:val="Fuentedeprrafopredeter"/>
    <w:link w:val="Ttulo1"/>
    <w:rsid w:val="009F7D35"/>
    <w:rPr>
      <w:rFonts w:ascii="Calibri" w:eastAsia="Calibri" w:hAnsi="Calibri" w:cs="Calibri"/>
      <w:b/>
      <w:sz w:val="48"/>
      <w:szCs w:val="48"/>
      <w:lang w:eastAsia="es-ES"/>
    </w:rPr>
  </w:style>
  <w:style w:type="character" w:customStyle="1" w:styleId="Ttulo2Car">
    <w:name w:val="Título 2 Car"/>
    <w:basedOn w:val="Fuentedeprrafopredeter"/>
    <w:link w:val="Ttulo2"/>
    <w:rsid w:val="009F7D35"/>
    <w:rPr>
      <w:rFonts w:ascii="Calibri" w:eastAsia="Calibri" w:hAnsi="Calibri" w:cs="Calibri"/>
      <w:b/>
      <w:sz w:val="36"/>
      <w:szCs w:val="36"/>
      <w:lang w:eastAsia="es-ES"/>
    </w:rPr>
  </w:style>
  <w:style w:type="character" w:customStyle="1" w:styleId="Ttulo5Car">
    <w:name w:val="Título 5 Car"/>
    <w:basedOn w:val="Fuentedeprrafopredeter"/>
    <w:link w:val="Ttulo5"/>
    <w:rsid w:val="009F7D35"/>
    <w:rPr>
      <w:rFonts w:ascii="Calibri" w:eastAsia="Calibri" w:hAnsi="Calibri" w:cs="Calibri"/>
      <w:b/>
      <w:sz w:val="22"/>
      <w:szCs w:val="22"/>
      <w:lang w:eastAsia="es-ES"/>
    </w:rPr>
  </w:style>
  <w:style w:type="paragraph" w:styleId="Ttulo">
    <w:name w:val="Title"/>
    <w:basedOn w:val="Normal"/>
    <w:next w:val="Normal"/>
    <w:link w:val="TtuloCar"/>
    <w:rsid w:val="009F7D35"/>
    <w:pPr>
      <w:keepNext/>
      <w:keepLines/>
      <w:spacing w:before="480" w:after="120" w:line="276" w:lineRule="auto"/>
    </w:pPr>
    <w:rPr>
      <w:rFonts w:ascii="Calibri" w:eastAsia="Calibri" w:hAnsi="Calibri" w:cs="Calibri"/>
      <w:b/>
      <w:sz w:val="72"/>
      <w:szCs w:val="72"/>
      <w:lang w:val="es-AR" w:eastAsia="es-ES"/>
    </w:rPr>
  </w:style>
  <w:style w:type="character" w:customStyle="1" w:styleId="TtuloCar">
    <w:name w:val="Título Car"/>
    <w:basedOn w:val="Fuentedeprrafopredeter"/>
    <w:link w:val="Ttulo"/>
    <w:rsid w:val="009F7D35"/>
    <w:rPr>
      <w:rFonts w:ascii="Calibri" w:eastAsia="Calibri" w:hAnsi="Calibri" w:cs="Calibri"/>
      <w:b/>
      <w:sz w:val="72"/>
      <w:szCs w:val="72"/>
      <w:lang w:eastAsia="es-ES"/>
    </w:rPr>
  </w:style>
  <w:style w:type="character" w:styleId="Hipervnculo">
    <w:name w:val="Hyperlink"/>
    <w:basedOn w:val="Fuentedeprrafopredeter"/>
    <w:uiPriority w:val="99"/>
    <w:unhideWhenUsed/>
    <w:rsid w:val="009F7D35"/>
    <w:rPr>
      <w:color w:val="0563C1" w:themeColor="hyperlink"/>
      <w:u w:val="single"/>
    </w:rPr>
  </w:style>
  <w:style w:type="paragraph" w:styleId="NormalWeb">
    <w:name w:val="Normal (Web)"/>
    <w:basedOn w:val="Normal"/>
    <w:uiPriority w:val="99"/>
    <w:unhideWhenUsed/>
    <w:rsid w:val="009F7D35"/>
    <w:pPr>
      <w:spacing w:before="100" w:beforeAutospacing="1" w:after="100" w:afterAutospacing="1"/>
    </w:pPr>
    <w:rPr>
      <w:rFonts w:ascii="Times New Roman" w:eastAsia="Times New Roman" w:hAnsi="Times New Roman"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link w:val="Ttulo1Car"/>
    <w:rsid w:val="009F7D35"/>
    <w:pPr>
      <w:keepNext/>
      <w:keepLines/>
      <w:spacing w:before="480" w:after="120" w:line="276" w:lineRule="auto"/>
      <w:outlineLvl w:val="0"/>
    </w:pPr>
    <w:rPr>
      <w:rFonts w:ascii="Calibri" w:eastAsia="Calibri" w:hAnsi="Calibri" w:cs="Calibri"/>
      <w:b/>
      <w:sz w:val="48"/>
      <w:szCs w:val="48"/>
      <w:lang w:val="es-AR" w:eastAsia="es-ES"/>
    </w:rPr>
  </w:style>
  <w:style w:type="paragraph" w:styleId="Ttulo2">
    <w:name w:val="heading 2"/>
    <w:basedOn w:val="Normal"/>
    <w:next w:val="Normal"/>
    <w:link w:val="Ttulo2Car"/>
    <w:rsid w:val="009F7D35"/>
    <w:pPr>
      <w:keepNext/>
      <w:keepLines/>
      <w:spacing w:before="360" w:after="80" w:line="276" w:lineRule="auto"/>
      <w:outlineLvl w:val="1"/>
    </w:pPr>
    <w:rPr>
      <w:rFonts w:ascii="Calibri" w:eastAsia="Calibri" w:hAnsi="Calibri" w:cs="Calibri"/>
      <w:b/>
      <w:sz w:val="36"/>
      <w:szCs w:val="36"/>
      <w:lang w:val="es-AR" w:eastAsia="es-ES"/>
    </w:rPr>
  </w:style>
  <w:style w:type="paragraph" w:styleId="Ttulo5">
    <w:name w:val="heading 5"/>
    <w:basedOn w:val="Normal"/>
    <w:next w:val="Normal"/>
    <w:link w:val="Ttulo5Car"/>
    <w:rsid w:val="009F7D35"/>
    <w:pPr>
      <w:keepNext/>
      <w:keepLines/>
      <w:spacing w:before="220" w:after="40" w:line="276" w:lineRule="auto"/>
      <w:outlineLvl w:val="4"/>
    </w:pPr>
    <w:rPr>
      <w:rFonts w:ascii="Calibri" w:eastAsia="Calibri" w:hAnsi="Calibri" w:cs="Calibri"/>
      <w:b/>
      <w:sz w:val="22"/>
      <w:szCs w:val="22"/>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 w:type="character" w:customStyle="1" w:styleId="Ttulo1Car">
    <w:name w:val="Título 1 Car"/>
    <w:basedOn w:val="Fuentedeprrafopredeter"/>
    <w:link w:val="Ttulo1"/>
    <w:rsid w:val="009F7D35"/>
    <w:rPr>
      <w:rFonts w:ascii="Calibri" w:eastAsia="Calibri" w:hAnsi="Calibri" w:cs="Calibri"/>
      <w:b/>
      <w:sz w:val="48"/>
      <w:szCs w:val="48"/>
      <w:lang w:eastAsia="es-ES"/>
    </w:rPr>
  </w:style>
  <w:style w:type="character" w:customStyle="1" w:styleId="Ttulo2Car">
    <w:name w:val="Título 2 Car"/>
    <w:basedOn w:val="Fuentedeprrafopredeter"/>
    <w:link w:val="Ttulo2"/>
    <w:rsid w:val="009F7D35"/>
    <w:rPr>
      <w:rFonts w:ascii="Calibri" w:eastAsia="Calibri" w:hAnsi="Calibri" w:cs="Calibri"/>
      <w:b/>
      <w:sz w:val="36"/>
      <w:szCs w:val="36"/>
      <w:lang w:eastAsia="es-ES"/>
    </w:rPr>
  </w:style>
  <w:style w:type="character" w:customStyle="1" w:styleId="Ttulo5Car">
    <w:name w:val="Título 5 Car"/>
    <w:basedOn w:val="Fuentedeprrafopredeter"/>
    <w:link w:val="Ttulo5"/>
    <w:rsid w:val="009F7D35"/>
    <w:rPr>
      <w:rFonts w:ascii="Calibri" w:eastAsia="Calibri" w:hAnsi="Calibri" w:cs="Calibri"/>
      <w:b/>
      <w:sz w:val="22"/>
      <w:szCs w:val="22"/>
      <w:lang w:eastAsia="es-ES"/>
    </w:rPr>
  </w:style>
  <w:style w:type="paragraph" w:styleId="Ttulo">
    <w:name w:val="Title"/>
    <w:basedOn w:val="Normal"/>
    <w:next w:val="Normal"/>
    <w:link w:val="TtuloCar"/>
    <w:rsid w:val="009F7D35"/>
    <w:pPr>
      <w:keepNext/>
      <w:keepLines/>
      <w:spacing w:before="480" w:after="120" w:line="276" w:lineRule="auto"/>
    </w:pPr>
    <w:rPr>
      <w:rFonts w:ascii="Calibri" w:eastAsia="Calibri" w:hAnsi="Calibri" w:cs="Calibri"/>
      <w:b/>
      <w:sz w:val="72"/>
      <w:szCs w:val="72"/>
      <w:lang w:val="es-AR" w:eastAsia="es-ES"/>
    </w:rPr>
  </w:style>
  <w:style w:type="character" w:customStyle="1" w:styleId="TtuloCar">
    <w:name w:val="Título Car"/>
    <w:basedOn w:val="Fuentedeprrafopredeter"/>
    <w:link w:val="Ttulo"/>
    <w:rsid w:val="009F7D35"/>
    <w:rPr>
      <w:rFonts w:ascii="Calibri" w:eastAsia="Calibri" w:hAnsi="Calibri" w:cs="Calibri"/>
      <w:b/>
      <w:sz w:val="72"/>
      <w:szCs w:val="72"/>
      <w:lang w:eastAsia="es-ES"/>
    </w:rPr>
  </w:style>
  <w:style w:type="character" w:styleId="Hipervnculo">
    <w:name w:val="Hyperlink"/>
    <w:basedOn w:val="Fuentedeprrafopredeter"/>
    <w:uiPriority w:val="99"/>
    <w:unhideWhenUsed/>
    <w:rsid w:val="009F7D35"/>
    <w:rPr>
      <w:color w:val="0563C1" w:themeColor="hyperlink"/>
      <w:u w:val="single"/>
    </w:rPr>
  </w:style>
  <w:style w:type="paragraph" w:styleId="NormalWeb">
    <w:name w:val="Normal (Web)"/>
    <w:basedOn w:val="Normal"/>
    <w:uiPriority w:val="99"/>
    <w:unhideWhenUsed/>
    <w:rsid w:val="009F7D35"/>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RevistaSS-GuerraySalud" TargetMode="External"/><Relationship Id="rId3" Type="http://schemas.openxmlformats.org/officeDocument/2006/relationships/settings" Target="settings.xml"/><Relationship Id="rId7" Type="http://schemas.openxmlformats.org/officeDocument/2006/relationships/hyperlink" Target="https://drive.google.com/file/d/1Aai5bwzMO1yttTuOjZMvcBjsFbql2Dqr/view?usp=shar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baires.gob.ar/content/por-claudia-teod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2661</Words>
  <Characters>14640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cp:lastModifiedBy>
  <cp:revision>3</cp:revision>
  <dcterms:created xsi:type="dcterms:W3CDTF">2023-07-27T15:17:00Z</dcterms:created>
  <dcterms:modified xsi:type="dcterms:W3CDTF">2023-07-27T15:19:00Z</dcterms:modified>
</cp:coreProperties>
</file>