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29" w:rsidRDefault="00665AB1">
      <w:pPr>
        <w:spacing w:before="480"/>
        <w:rPr>
          <w:b/>
          <w:sz w:val="36"/>
          <w:szCs w:val="36"/>
        </w:rPr>
      </w:pPr>
      <w:r>
        <w:rPr>
          <w:b/>
          <w:sz w:val="36"/>
          <w:szCs w:val="36"/>
        </w:rPr>
        <w:t>1. TÍTULO DEL CURSO</w:t>
      </w:r>
    </w:p>
    <w:tbl>
      <w:tblPr>
        <w:tblStyle w:val="ae"/>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495"/>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before="240"/>
              <w:rPr>
                <w:b/>
              </w:rPr>
            </w:pPr>
            <w:r>
              <w:rPr>
                <w:b/>
              </w:rPr>
              <w:t>Comunicación Política en el entorno digital</w:t>
            </w:r>
          </w:p>
        </w:tc>
      </w:tr>
    </w:tbl>
    <w:p w:rsidR="007F0229" w:rsidRDefault="00665AB1">
      <w:pPr>
        <w:spacing w:before="480" w:after="120"/>
        <w:rPr>
          <w:b/>
          <w:sz w:val="36"/>
          <w:szCs w:val="36"/>
        </w:rPr>
      </w:pPr>
      <w:r>
        <w:rPr>
          <w:b/>
          <w:sz w:val="36"/>
          <w:szCs w:val="36"/>
        </w:rPr>
        <w:t>2. DOCENTE A CARGO Y EQUIPO DOCENTE</w:t>
      </w:r>
    </w:p>
    <w:tbl>
      <w:tblPr>
        <w:tblStyle w:val="af"/>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7F0229">
        <w:trPr>
          <w:trHeight w:val="495"/>
        </w:trPr>
        <w:tc>
          <w:tcPr>
            <w:tcW w:w="4512"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rPr>
                <w:b/>
              </w:rPr>
            </w:pPr>
            <w:r>
              <w:rPr>
                <w:b/>
              </w:rPr>
              <w:t>APELLIDO Y NOMBRE</w:t>
            </w:r>
          </w:p>
        </w:tc>
        <w:tc>
          <w:tcPr>
            <w:tcW w:w="45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F0229" w:rsidRDefault="00665AB1">
            <w:pPr>
              <w:spacing w:before="240"/>
            </w:pPr>
            <w:r>
              <w:t xml:space="preserve"> </w:t>
            </w:r>
          </w:p>
        </w:tc>
      </w:tr>
      <w:tr w:rsidR="007F0229">
        <w:trPr>
          <w:trHeight w:val="495"/>
        </w:trPr>
        <w:tc>
          <w:tcPr>
            <w:tcW w:w="4512"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rPr>
                <w:b/>
              </w:rPr>
            </w:pPr>
            <w:r>
              <w:rPr>
                <w:b/>
              </w:rPr>
              <w:t>Docentes Titulares</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rsidR="007F0229" w:rsidRDefault="00665AB1">
            <w:pPr>
              <w:spacing w:before="240"/>
            </w:pPr>
            <w:r>
              <w:t xml:space="preserve">Pablo Carrasco  y Diego </w:t>
            </w:r>
            <w:proofErr w:type="spellStart"/>
            <w:r>
              <w:t>Abatecola</w:t>
            </w:r>
            <w:proofErr w:type="spellEnd"/>
          </w:p>
        </w:tc>
      </w:tr>
      <w:tr w:rsidR="007F0229">
        <w:trPr>
          <w:trHeight w:val="495"/>
        </w:trPr>
        <w:tc>
          <w:tcPr>
            <w:tcW w:w="4512"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rPr>
                <w:b/>
              </w:rPr>
            </w:pPr>
            <w:r>
              <w:rPr>
                <w:b/>
              </w:rPr>
              <w:t>Docentes Adjuntos</w:t>
            </w:r>
          </w:p>
        </w:tc>
        <w:tc>
          <w:tcPr>
            <w:tcW w:w="4512" w:type="dxa"/>
            <w:tcBorders>
              <w:top w:val="nil"/>
              <w:left w:val="nil"/>
              <w:bottom w:val="single" w:sz="8" w:space="0" w:color="000000"/>
              <w:right w:val="single" w:sz="8" w:space="0" w:color="000000"/>
            </w:tcBorders>
            <w:tcMar>
              <w:top w:w="100" w:type="dxa"/>
              <w:left w:w="100" w:type="dxa"/>
              <w:bottom w:w="100" w:type="dxa"/>
              <w:right w:w="100" w:type="dxa"/>
            </w:tcMar>
          </w:tcPr>
          <w:p w:rsidR="007F0229" w:rsidRDefault="00665AB1">
            <w:pPr>
              <w:spacing w:before="240"/>
            </w:pPr>
            <w:r>
              <w:t xml:space="preserve">Carolina </w:t>
            </w:r>
            <w:proofErr w:type="spellStart"/>
            <w:r>
              <w:t>Ré</w:t>
            </w:r>
            <w:proofErr w:type="spellEnd"/>
            <w:r>
              <w:t>.</w:t>
            </w:r>
          </w:p>
        </w:tc>
      </w:tr>
    </w:tbl>
    <w:p w:rsidR="007F0229" w:rsidRDefault="00665AB1">
      <w:pPr>
        <w:spacing w:before="480" w:after="120"/>
        <w:rPr>
          <w:b/>
          <w:sz w:val="36"/>
          <w:szCs w:val="36"/>
        </w:rPr>
      </w:pPr>
      <w:r>
        <w:rPr>
          <w:b/>
          <w:sz w:val="36"/>
          <w:szCs w:val="36"/>
        </w:rPr>
        <w:t>3. JUSTIFICACIÓN - FUNDAMENTACIÓN</w:t>
      </w:r>
    </w:p>
    <w:tbl>
      <w:tblPr>
        <w:tblStyle w:val="af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6620"/>
        </w:trPr>
        <w:tc>
          <w:tcPr>
            <w:tcW w:w="90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after="160"/>
              <w:jc w:val="both"/>
            </w:pPr>
            <w:r>
              <w:t>Este curso se propone abordar un área de especialización que resulta cada vez más trascendente en el desarrollo de estrategias de comunicación política, la digital. Por ello nos referimos al conjunto de conocimientos parti</w:t>
            </w:r>
            <w:r>
              <w:t>culares vinculados a los dispositivos de comunicación digital (sitio web, apps, redes sociales, comunidades digitales, portales, redes de mensajería, etc.) y el modo de utilizarlos en articulación a una estrategia de comunicación política.</w:t>
            </w:r>
          </w:p>
          <w:p w:rsidR="007F0229" w:rsidRDefault="00665AB1">
            <w:pPr>
              <w:spacing w:after="160"/>
              <w:jc w:val="both"/>
            </w:pPr>
            <w:r>
              <w:t>El curso se arti</w:t>
            </w:r>
            <w:r>
              <w:t>cula sobre tres bloques de contenidos. Una primera instancia de definición teórico-metodológica, focalizada en conocer las gramáticas de funcionamiento de los medios sociales digitales. Conocer cómo funciona la distribución de contenidos a través del orden</w:t>
            </w:r>
            <w:r>
              <w:t xml:space="preserve">amiento </w:t>
            </w:r>
            <w:proofErr w:type="spellStart"/>
            <w:r>
              <w:t>algorítico</w:t>
            </w:r>
            <w:proofErr w:type="spellEnd"/>
            <w:r>
              <w:t xml:space="preserve"> resulta central para el diseño de cualquier estrategia. Pondremos el foco en conocer las condiciones particulares de los dispositivos de comunicación digital de esta coyuntura para que articulando ese conocimiento con el desarrollo de un</w:t>
            </w:r>
            <w:r>
              <w:t>a estrategia de comunicación política los y las estudiantes sean capaces de crear soluciones estratégicas y efectivas de comunicación política digital, conocimiento la dinámica propia de cada plataforma, su lenguaje, sus lógicas de funcionamiento y distrib</w:t>
            </w:r>
            <w:r>
              <w:t>ución.</w:t>
            </w:r>
          </w:p>
          <w:p w:rsidR="007F0229" w:rsidRDefault="00665AB1">
            <w:pPr>
              <w:spacing w:after="160"/>
              <w:jc w:val="both"/>
            </w:pPr>
            <w:r>
              <w:t xml:space="preserve">En segundo lugar, abordaremos una serie de herramientas prácticas vinculadas al análisis de redes sociales (R, plataformas de social </w:t>
            </w:r>
            <w:proofErr w:type="spellStart"/>
            <w:r>
              <w:t>listening</w:t>
            </w:r>
            <w:proofErr w:type="spellEnd"/>
            <w:r>
              <w:t xml:space="preserve">), y conoceremos los principales canales de publicidad digital, especialmente focalizados en que los y las </w:t>
            </w:r>
            <w:r>
              <w:t>estudiantes puedan definir y crear segmentaciones avanzadas de públicos.</w:t>
            </w:r>
          </w:p>
          <w:p w:rsidR="007F0229" w:rsidRDefault="00665AB1">
            <w:pPr>
              <w:spacing w:after="160"/>
              <w:jc w:val="both"/>
            </w:pPr>
            <w:r>
              <w:t xml:space="preserve">En tercer lugar, pondremos en práctica este conjunto de saberes en la implementación de </w:t>
            </w:r>
            <w:r>
              <w:t>una estrategia de comunicación política digital a elección de los y las estudiantes, que contar</w:t>
            </w:r>
            <w:r>
              <w:t xml:space="preserve">á con una instancia de planificación en grupos, la creación y el desarrollo de las estrategia, los canales donde se expresa, las creatividades y acciones concretas que </w:t>
            </w:r>
            <w:r>
              <w:lastRenderedPageBreak/>
              <w:t>realizará.</w:t>
            </w:r>
          </w:p>
        </w:tc>
      </w:tr>
      <w:tr w:rsidR="007F0229">
        <w:trPr>
          <w:trHeight w:val="705"/>
        </w:trPr>
        <w:tc>
          <w:tcPr>
            <w:tcW w:w="902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7F0229">
            <w:pPr>
              <w:widowControl w:val="0"/>
              <w:pBdr>
                <w:top w:val="nil"/>
                <w:left w:val="nil"/>
                <w:bottom w:val="nil"/>
                <w:right w:val="nil"/>
                <w:between w:val="nil"/>
              </w:pBdr>
            </w:pPr>
          </w:p>
        </w:tc>
      </w:tr>
    </w:tbl>
    <w:p w:rsidR="007F0229" w:rsidRDefault="00665AB1">
      <w:pPr>
        <w:spacing w:before="480" w:after="120"/>
        <w:rPr>
          <w:b/>
          <w:sz w:val="36"/>
          <w:szCs w:val="36"/>
        </w:rPr>
      </w:pPr>
      <w:r>
        <w:rPr>
          <w:b/>
          <w:sz w:val="36"/>
          <w:szCs w:val="36"/>
        </w:rPr>
        <w:lastRenderedPageBreak/>
        <w:t>4</w:t>
      </w:r>
      <w:r>
        <w:rPr>
          <w:b/>
          <w:sz w:val="36"/>
          <w:szCs w:val="36"/>
        </w:rPr>
        <w:t>.</w:t>
      </w:r>
      <w:r>
        <w:rPr>
          <w:b/>
          <w:sz w:val="36"/>
          <w:szCs w:val="36"/>
        </w:rPr>
        <w:t xml:space="preserve"> OBJETIVOS</w:t>
      </w:r>
    </w:p>
    <w:tbl>
      <w:tblPr>
        <w:tblStyle w:val="af1"/>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9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after="160"/>
              <w:jc w:val="both"/>
            </w:pPr>
            <w:r>
              <w:t>El curso tiene por objetivo que los y las estudiantes puedan desarrollar estrategias de comunicación política digital utilizando las herramientas de mayor relevancia actuales.</w:t>
            </w:r>
          </w:p>
        </w:tc>
      </w:tr>
    </w:tbl>
    <w:p w:rsidR="007F0229" w:rsidRDefault="00665AB1">
      <w:pPr>
        <w:spacing w:before="480" w:after="120"/>
        <w:rPr>
          <w:b/>
          <w:sz w:val="36"/>
          <w:szCs w:val="36"/>
        </w:rPr>
      </w:pPr>
      <w:r>
        <w:rPr>
          <w:b/>
          <w:sz w:val="36"/>
          <w:szCs w:val="36"/>
        </w:rPr>
        <w:t>5. PROGRAMA A DESARROLLAR</w:t>
      </w:r>
    </w:p>
    <w:tbl>
      <w:tblPr>
        <w:tblStyle w:val="af2"/>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20595"/>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before="240" w:after="240"/>
              <w:rPr>
                <w:b/>
              </w:rPr>
            </w:pPr>
            <w:r>
              <w:rPr>
                <w:b/>
              </w:rPr>
              <w:lastRenderedPageBreak/>
              <w:t>UNIDAD 1</w:t>
            </w:r>
          </w:p>
          <w:p w:rsidR="007F0229" w:rsidRDefault="00665AB1">
            <w:pPr>
              <w:spacing w:before="240" w:after="240"/>
              <w:rPr>
                <w:b/>
              </w:rPr>
            </w:pPr>
            <w:r>
              <w:rPr>
                <w:b/>
              </w:rPr>
              <w:t>Algoritmos, burbujas y usuarios</w:t>
            </w:r>
          </w:p>
          <w:p w:rsidR="007F0229" w:rsidRDefault="00665AB1">
            <w:pPr>
              <w:spacing w:before="240" w:after="240"/>
            </w:pPr>
            <w:r>
              <w:t xml:space="preserve">Los medios digitales tienen sus propias gramáticas y para conocerlas y diseñar estrategias de comunicación digital debemos conocer sus reglas. En esta unidad inicial nos centramos en establecer un mapa del territorio digital, constituido por usuarios, </w:t>
            </w:r>
            <w:proofErr w:type="spellStart"/>
            <w:r>
              <w:t>bots</w:t>
            </w:r>
            <w:proofErr w:type="spellEnd"/>
            <w:r>
              <w:t xml:space="preserve">, </w:t>
            </w:r>
            <w:proofErr w:type="spellStart"/>
            <w:r>
              <w:t>trolls</w:t>
            </w:r>
            <w:proofErr w:type="spellEnd"/>
            <w:r>
              <w:t xml:space="preserve"> y conocer la dinámica de distribución desigual de la atención a través del ordenamiento algorítmico de los contenidos.</w:t>
            </w:r>
          </w:p>
          <w:p w:rsidR="007F0229" w:rsidRDefault="00665AB1">
            <w:pPr>
              <w:spacing w:before="240" w:after="240"/>
              <w:rPr>
                <w:b/>
              </w:rPr>
            </w:pPr>
            <w:r>
              <w:rPr>
                <w:b/>
              </w:rPr>
              <w:t>UNIDAD 2</w:t>
            </w:r>
          </w:p>
          <w:p w:rsidR="007F0229" w:rsidRDefault="00665AB1">
            <w:pPr>
              <w:spacing w:before="240" w:after="240"/>
              <w:rPr>
                <w:b/>
              </w:rPr>
            </w:pPr>
            <w:r>
              <w:rPr>
                <w:b/>
              </w:rPr>
              <w:t xml:space="preserve">Instrumentos de medición de redes, escucha social y </w:t>
            </w:r>
            <w:proofErr w:type="spellStart"/>
            <w:r>
              <w:rPr>
                <w:b/>
              </w:rPr>
              <w:t>big</w:t>
            </w:r>
            <w:proofErr w:type="spellEnd"/>
            <w:r>
              <w:rPr>
                <w:b/>
              </w:rPr>
              <w:t xml:space="preserve"> data</w:t>
            </w:r>
          </w:p>
          <w:p w:rsidR="007F0229" w:rsidRDefault="00665AB1">
            <w:pPr>
              <w:spacing w:before="240" w:after="240"/>
            </w:pPr>
            <w:r>
              <w:t>Tanto para el desarrollo de estrategias como para la medic</w:t>
            </w:r>
            <w:r>
              <w:t xml:space="preserve">ión post-campaña debemos conocer qué variables están disponibles, cómo interpretarlas en relación a los objetivos, y cómo realizar procesos automatizados que permitan construir datos relevantes para la estrategia. Para ello en esta unidad veremos: </w:t>
            </w:r>
            <w:proofErr w:type="spellStart"/>
            <w:r>
              <w:t>KPIs</w:t>
            </w:r>
            <w:proofErr w:type="spellEnd"/>
            <w:r>
              <w:t xml:space="preserve"> en </w:t>
            </w:r>
            <w:r>
              <w:t xml:space="preserve">Twitter, Facebook, Instagram, </w:t>
            </w:r>
            <w:proofErr w:type="spellStart"/>
            <w:r>
              <w:t>Youtube</w:t>
            </w:r>
            <w:proofErr w:type="spellEnd"/>
            <w:r>
              <w:t xml:space="preserve">, Google </w:t>
            </w:r>
            <w:proofErr w:type="spellStart"/>
            <w:r>
              <w:t>Ads</w:t>
            </w:r>
            <w:proofErr w:type="spellEnd"/>
            <w:r>
              <w:t xml:space="preserve">, </w:t>
            </w:r>
            <w:proofErr w:type="spellStart"/>
            <w:r>
              <w:t>Programatic</w:t>
            </w:r>
            <w:proofErr w:type="spellEnd"/>
            <w:r>
              <w:t xml:space="preserve"> y </w:t>
            </w:r>
            <w:proofErr w:type="spellStart"/>
            <w:r>
              <w:t>Tiktok</w:t>
            </w:r>
            <w:proofErr w:type="spellEnd"/>
            <w:r>
              <w:t xml:space="preserve">. Utilización de herramientas de medición de performance, social </w:t>
            </w:r>
            <w:proofErr w:type="spellStart"/>
            <w:r>
              <w:t>listening</w:t>
            </w:r>
            <w:proofErr w:type="spellEnd"/>
            <w:r>
              <w:t xml:space="preserve"> y utilización de R para analizar </w:t>
            </w:r>
            <w:proofErr w:type="spellStart"/>
            <w:r>
              <w:t>big</w:t>
            </w:r>
            <w:proofErr w:type="spellEnd"/>
            <w:r>
              <w:t xml:space="preserve"> data de Twitter.</w:t>
            </w:r>
          </w:p>
          <w:p w:rsidR="007F0229" w:rsidRDefault="00665AB1">
            <w:pPr>
              <w:spacing w:before="240" w:after="240"/>
              <w:rPr>
                <w:b/>
              </w:rPr>
            </w:pPr>
            <w:r>
              <w:rPr>
                <w:b/>
              </w:rPr>
              <w:t>UNIDAD 3</w:t>
            </w:r>
          </w:p>
          <w:p w:rsidR="007F0229" w:rsidRDefault="00665AB1">
            <w:pPr>
              <w:spacing w:before="240" w:after="240"/>
              <w:rPr>
                <w:b/>
              </w:rPr>
            </w:pPr>
            <w:r>
              <w:rPr>
                <w:b/>
              </w:rPr>
              <w:t>Ecosistema publicitario</w:t>
            </w:r>
          </w:p>
          <w:p w:rsidR="007F0229" w:rsidRDefault="00665AB1">
            <w:pPr>
              <w:spacing w:before="240" w:after="240"/>
            </w:pPr>
            <w:r>
              <w:t>Cómo construir segmento</w:t>
            </w:r>
            <w:r>
              <w:t xml:space="preserve">s y </w:t>
            </w:r>
            <w:proofErr w:type="spellStart"/>
            <w:r>
              <w:t>microsegmentos</w:t>
            </w:r>
            <w:proofErr w:type="spellEnd"/>
            <w:r>
              <w:t xml:space="preserve"> en Meta </w:t>
            </w:r>
            <w:proofErr w:type="spellStart"/>
            <w:r>
              <w:t>Ads</w:t>
            </w:r>
            <w:proofErr w:type="spellEnd"/>
            <w:r>
              <w:t xml:space="preserve">, Twitter, Google </w:t>
            </w:r>
            <w:proofErr w:type="spellStart"/>
            <w:r>
              <w:t>Ads</w:t>
            </w:r>
            <w:proofErr w:type="spellEnd"/>
            <w:r>
              <w:t>. Creación de segmentos enriquecidos, gestión de bases de datos, optimización de anuncios y creatividades. Principales herramientas para la construcción de segmentación avanzada y creación de campañas publ</w:t>
            </w:r>
            <w:r>
              <w:t>icitarias políticas efectivas. Formatos publicitarios disponibles, objetivos, medición y seguimiento.</w:t>
            </w:r>
          </w:p>
          <w:p w:rsidR="007F0229" w:rsidRDefault="00665AB1">
            <w:pPr>
              <w:spacing w:before="240" w:after="240"/>
              <w:rPr>
                <w:b/>
              </w:rPr>
            </w:pPr>
            <w:r>
              <w:rPr>
                <w:b/>
              </w:rPr>
              <w:t>UNIDAD 4</w:t>
            </w:r>
          </w:p>
          <w:p w:rsidR="007F0229" w:rsidRDefault="00665AB1">
            <w:pPr>
              <w:spacing w:before="240" w:after="240"/>
              <w:rPr>
                <w:b/>
              </w:rPr>
            </w:pPr>
            <w:r>
              <w:rPr>
                <w:b/>
              </w:rPr>
              <w:t>Estrategia y planificación de una campaña digital</w:t>
            </w:r>
          </w:p>
          <w:p w:rsidR="007F0229" w:rsidRDefault="00665AB1">
            <w:pPr>
              <w:spacing w:before="240" w:after="240"/>
            </w:pPr>
            <w:r>
              <w:t xml:space="preserve">Con el conocimiento de las herramientas existentes recorremos el camino para comprender qué es </w:t>
            </w:r>
            <w:r>
              <w:t>una estrategia de comunicación digital, su aplicación en el ecosistema de plataformas, lineamientos generales y cómo comprender el mapa de la conversación en redes sociales para tomar decisiones. Cómo crear contenidos para redes según el tipo de red.</w:t>
            </w:r>
          </w:p>
          <w:p w:rsidR="007F0229" w:rsidRDefault="00665AB1">
            <w:pPr>
              <w:spacing w:before="240" w:after="240"/>
              <w:rPr>
                <w:b/>
              </w:rPr>
            </w:pPr>
            <w:r>
              <w:rPr>
                <w:b/>
              </w:rPr>
              <w:t>UNIDA</w:t>
            </w:r>
            <w:r>
              <w:rPr>
                <w:b/>
              </w:rPr>
              <w:t>D 5</w:t>
            </w:r>
          </w:p>
          <w:p w:rsidR="007F0229" w:rsidRDefault="00665AB1">
            <w:pPr>
              <w:spacing w:before="240" w:after="240"/>
              <w:rPr>
                <w:b/>
              </w:rPr>
            </w:pPr>
            <w:r>
              <w:rPr>
                <w:b/>
              </w:rPr>
              <w:t>Campaña oficial y campaña oficiosa</w:t>
            </w:r>
          </w:p>
          <w:p w:rsidR="007F0229" w:rsidRDefault="00665AB1">
            <w:pPr>
              <w:spacing w:before="240" w:after="240"/>
            </w:pPr>
            <w:r>
              <w:t>La diversidad de dispositivos enunciativos que se pueden crear a través de canales digitales permite pensar y construir campañas oficiosas que complementen las acciones oficiales. Implementación de distribución de con</w:t>
            </w:r>
            <w:r>
              <w:t xml:space="preserve">tenidos de campaña desde la creación de </w:t>
            </w:r>
            <w:r>
              <w:lastRenderedPageBreak/>
              <w:t xml:space="preserve">grupos de Facebook y </w:t>
            </w:r>
            <w:proofErr w:type="spellStart"/>
            <w:r>
              <w:t>Whatsapp</w:t>
            </w:r>
            <w:proofErr w:type="spellEnd"/>
            <w:r>
              <w:t xml:space="preserve"> hasta la utilización de </w:t>
            </w:r>
            <w:proofErr w:type="spellStart"/>
            <w:r>
              <w:t>Influencers</w:t>
            </w:r>
            <w:proofErr w:type="spellEnd"/>
            <w:r>
              <w:t>. Diferencias entre la comunicación institucional y la comunicación personal del funcionario. Ejemplos positivos y negativos. Cómo construir contenidos</w:t>
            </w:r>
            <w:r>
              <w:t xml:space="preserve"> para la circulación por fuera de la campaña oficial.</w:t>
            </w:r>
          </w:p>
          <w:p w:rsidR="007F0229" w:rsidRDefault="00665AB1">
            <w:pPr>
              <w:spacing w:before="240" w:after="240"/>
              <w:rPr>
                <w:b/>
              </w:rPr>
            </w:pPr>
            <w:r>
              <w:rPr>
                <w:b/>
              </w:rPr>
              <w:t>UNIDAD 6</w:t>
            </w:r>
          </w:p>
          <w:p w:rsidR="007F0229" w:rsidRDefault="00665AB1">
            <w:pPr>
              <w:spacing w:before="240" w:after="240"/>
              <w:rPr>
                <w:b/>
              </w:rPr>
            </w:pPr>
            <w:r>
              <w:rPr>
                <w:b/>
              </w:rPr>
              <w:t>Evaluación</w:t>
            </w:r>
          </w:p>
          <w:p w:rsidR="007F0229" w:rsidRDefault="00665AB1">
            <w:pPr>
              <w:spacing w:before="240" w:after="240"/>
            </w:pPr>
            <w:r>
              <w:t>Desarrollo de trabajo práctico: armado de una campaña digital para un candidato (real u ad-hoc), hoja de ruta, calendarización y etapas de la misma. Uso de recursos y variantes sobre escenarios propuestos.</w:t>
            </w:r>
          </w:p>
        </w:tc>
      </w:tr>
    </w:tbl>
    <w:p w:rsidR="009B542A" w:rsidRDefault="009B542A">
      <w:pPr>
        <w:spacing w:before="480" w:after="120"/>
        <w:rPr>
          <w:b/>
          <w:sz w:val="36"/>
          <w:szCs w:val="36"/>
        </w:rPr>
      </w:pPr>
    </w:p>
    <w:p w:rsidR="007F0229" w:rsidRDefault="00665AB1">
      <w:pPr>
        <w:spacing w:before="480" w:after="120"/>
        <w:rPr>
          <w:b/>
          <w:sz w:val="36"/>
          <w:szCs w:val="36"/>
        </w:rPr>
      </w:pPr>
      <w:r>
        <w:rPr>
          <w:b/>
          <w:sz w:val="36"/>
          <w:szCs w:val="36"/>
        </w:rPr>
        <w:t>6. BIBLIOGRAFÍA</w:t>
      </w:r>
    </w:p>
    <w:tbl>
      <w:tblPr>
        <w:tblStyle w:val="af3"/>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755"/>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line="240" w:lineRule="auto"/>
            </w:pPr>
            <w:r>
              <w:t>Amnistía Internacional Argentina,</w:t>
            </w:r>
            <w:r>
              <w:t xml:space="preserve"> El debate público limitado, disponible en: </w:t>
            </w:r>
            <w:hyperlink r:id="rId8">
              <w:r>
                <w:rPr>
                  <w:color w:val="1155CC"/>
                  <w:u w:val="single"/>
                </w:rPr>
                <w:t>https://amnistia.org.ar</w:t>
              </w:r>
            </w:hyperlink>
          </w:p>
          <w:p w:rsidR="007F0229" w:rsidRDefault="007F0229">
            <w:pPr>
              <w:spacing w:line="240" w:lineRule="auto"/>
            </w:pPr>
          </w:p>
          <w:p w:rsidR="007F0229" w:rsidRDefault="00665AB1">
            <w:pPr>
              <w:spacing w:line="240" w:lineRule="auto"/>
            </w:pPr>
            <w:r>
              <w:t xml:space="preserve">Asociación por los Derechos Civiles, </w:t>
            </w:r>
            <w:proofErr w:type="spellStart"/>
            <w:r>
              <w:t>Microtargeting</w:t>
            </w:r>
            <w:proofErr w:type="spellEnd"/>
            <w:r>
              <w:t xml:space="preserve"> en Elecciones, Análisis exploratorio, PRO 2015-2017</w:t>
            </w:r>
          </w:p>
          <w:p w:rsidR="007F0229" w:rsidRDefault="007F0229">
            <w:pPr>
              <w:spacing w:line="240" w:lineRule="auto"/>
            </w:pPr>
          </w:p>
          <w:p w:rsidR="007F0229" w:rsidRDefault="00665AB1">
            <w:pPr>
              <w:spacing w:line="240" w:lineRule="auto"/>
            </w:pPr>
            <w:proofErr w:type="spellStart"/>
            <w:r>
              <w:t>Caletti</w:t>
            </w:r>
            <w:proofErr w:type="spellEnd"/>
            <w:r>
              <w:t xml:space="preserve">, S., (2006), Decir, </w:t>
            </w:r>
            <w:proofErr w:type="spellStart"/>
            <w:r>
              <w:t>autorrepresentación</w:t>
            </w:r>
            <w:proofErr w:type="spellEnd"/>
            <w:r>
              <w:t>, sujetos, Versión 17, UAM-X, México, PP. 19-78.</w:t>
            </w:r>
          </w:p>
          <w:p w:rsidR="007F0229" w:rsidRDefault="007F0229">
            <w:pPr>
              <w:spacing w:line="240" w:lineRule="auto"/>
            </w:pPr>
          </w:p>
          <w:p w:rsidR="007F0229" w:rsidRDefault="00665AB1">
            <w:pPr>
              <w:spacing w:line="240" w:lineRule="auto"/>
            </w:pPr>
            <w:r>
              <w:t xml:space="preserve">Carrasco, Pablo, El voto de los </w:t>
            </w:r>
            <w:proofErr w:type="spellStart"/>
            <w:r>
              <w:t>Bots</w:t>
            </w:r>
            <w:proofErr w:type="spellEnd"/>
            <w:r>
              <w:t xml:space="preserve">, disponible en: </w:t>
            </w:r>
            <w:hyperlink r:id="rId9">
              <w:r>
                <w:rPr>
                  <w:color w:val="1155CC"/>
                  <w:u w:val="single"/>
                </w:rPr>
                <w:t>https://www.academia.edu/40383844/El_voto_de_los_bots_-_Producci%C3%B3n_de_apoyo_pol%C3%ADtico_con_cuentas_automatizadas_en_YoVotoMM</w:t>
              </w:r>
            </w:hyperlink>
          </w:p>
          <w:p w:rsidR="007F0229" w:rsidRDefault="007F0229">
            <w:pPr>
              <w:spacing w:line="240" w:lineRule="auto"/>
            </w:pPr>
          </w:p>
          <w:p w:rsidR="007F0229" w:rsidRDefault="00665AB1">
            <w:pPr>
              <w:spacing w:line="240" w:lineRule="auto"/>
            </w:pPr>
            <w:r>
              <w:t xml:space="preserve">Carrasco, Pablo, No </w:t>
            </w:r>
            <w:proofErr w:type="spellStart"/>
            <w:r>
              <w:t>sos</w:t>
            </w:r>
            <w:proofErr w:type="spellEnd"/>
            <w:r>
              <w:t xml:space="preserve"> vos, es tu perfil. Algoritmos, perfilado digital y l</w:t>
            </w:r>
            <w:r>
              <w:t>os mitos de las plataformas, Thetricontinental.org, disponible en https://thetricontinental.org/es/argentina/fp-carrasco/</w:t>
            </w:r>
          </w:p>
          <w:p w:rsidR="007F0229" w:rsidRDefault="007F0229">
            <w:pPr>
              <w:spacing w:line="240" w:lineRule="auto"/>
            </w:pPr>
          </w:p>
          <w:p w:rsidR="007F0229" w:rsidRDefault="00665AB1">
            <w:pPr>
              <w:spacing w:line="240" w:lineRule="auto"/>
            </w:pPr>
            <w:proofErr w:type="spellStart"/>
            <w:r>
              <w:t>Comscore</w:t>
            </w:r>
            <w:proofErr w:type="spellEnd"/>
            <w:r>
              <w:t>, Análisis de Social Media de los Frentes Políticos de Argentina 2019.</w:t>
            </w:r>
          </w:p>
          <w:p w:rsidR="007F0229" w:rsidRDefault="007F0229">
            <w:pPr>
              <w:spacing w:line="240" w:lineRule="auto"/>
            </w:pPr>
          </w:p>
          <w:p w:rsidR="007F0229" w:rsidRDefault="00665AB1">
            <w:pPr>
              <w:spacing w:line="240" w:lineRule="auto"/>
            </w:pPr>
            <w:proofErr w:type="spellStart"/>
            <w:r>
              <w:t>Irigaray</w:t>
            </w:r>
            <w:proofErr w:type="spellEnd"/>
            <w:r>
              <w:t xml:space="preserve">, Fernando (2014),  Hacia la comunicación </w:t>
            </w:r>
            <w:proofErr w:type="spellStart"/>
            <w:r>
              <w:t>tra</w:t>
            </w:r>
            <w:r>
              <w:t>nsmedia</w:t>
            </w:r>
            <w:proofErr w:type="spellEnd"/>
            <w:r>
              <w:t xml:space="preserve"> / Fernando </w:t>
            </w:r>
            <w:proofErr w:type="spellStart"/>
            <w:r>
              <w:t>Irigaray</w:t>
            </w:r>
            <w:proofErr w:type="spellEnd"/>
            <w:r>
              <w:t xml:space="preserve"> y Anahí </w:t>
            </w:r>
          </w:p>
          <w:p w:rsidR="007F0229" w:rsidRDefault="00665AB1">
            <w:pPr>
              <w:spacing w:line="240" w:lineRule="auto"/>
            </w:pPr>
            <w:r>
              <w:t xml:space="preserve">Lovato; edición literaria a cargo de Fernando </w:t>
            </w:r>
            <w:proofErr w:type="spellStart"/>
            <w:r>
              <w:t>Irigaray</w:t>
            </w:r>
            <w:proofErr w:type="spellEnd"/>
            <w:r>
              <w:t xml:space="preserve"> y Anahí Lovato. - 1a ed. - </w:t>
            </w:r>
            <w:proofErr w:type="gramStart"/>
            <w:r>
              <w:t>Rosario :</w:t>
            </w:r>
            <w:proofErr w:type="gramEnd"/>
            <w:r>
              <w:t xml:space="preserve"> UNR Editora. Editorial de la Universidad Nacional de Rosario.</w:t>
            </w:r>
          </w:p>
          <w:p w:rsidR="007F0229" w:rsidRDefault="007F0229">
            <w:pPr>
              <w:spacing w:line="240" w:lineRule="auto"/>
            </w:pPr>
          </w:p>
          <w:p w:rsidR="007F0229" w:rsidRDefault="00665AB1">
            <w:pPr>
              <w:spacing w:line="240" w:lineRule="auto"/>
            </w:pPr>
            <w:r>
              <w:t xml:space="preserve">Lewis, Rebecca, </w:t>
            </w:r>
            <w:proofErr w:type="spellStart"/>
            <w:r>
              <w:t>Alternative</w:t>
            </w:r>
            <w:proofErr w:type="spellEnd"/>
            <w:r>
              <w:t xml:space="preserve"> </w:t>
            </w:r>
            <w:proofErr w:type="spellStart"/>
            <w:r>
              <w:t>Influence</w:t>
            </w:r>
            <w:proofErr w:type="spellEnd"/>
            <w:r>
              <w:t xml:space="preserve">: </w:t>
            </w:r>
            <w:proofErr w:type="spellStart"/>
            <w:r>
              <w:t>Broadcasting</w:t>
            </w:r>
            <w:proofErr w:type="spellEnd"/>
            <w:r>
              <w:t xml:space="preserve"> </w:t>
            </w:r>
            <w:proofErr w:type="spellStart"/>
            <w:r>
              <w:t>the</w:t>
            </w:r>
            <w:proofErr w:type="spellEnd"/>
            <w:r>
              <w:t xml:space="preserve"> </w:t>
            </w:r>
            <w:proofErr w:type="spellStart"/>
            <w:r>
              <w:t>Reactionary</w:t>
            </w:r>
            <w:proofErr w:type="spellEnd"/>
            <w:r>
              <w:t xml:space="preserve"> </w:t>
            </w:r>
            <w:proofErr w:type="spellStart"/>
            <w:r>
              <w:t>Right</w:t>
            </w:r>
            <w:proofErr w:type="spellEnd"/>
            <w:r>
              <w:t xml:space="preserve"> </w:t>
            </w:r>
            <w:proofErr w:type="spellStart"/>
            <w:r>
              <w:t>on</w:t>
            </w:r>
            <w:proofErr w:type="spellEnd"/>
            <w:r>
              <w:t xml:space="preserve"> YouTube, disponible en https://datasociety.net/wp-content/uploads/2018/09/DS_Alternative_Influence.pdf</w:t>
            </w:r>
          </w:p>
          <w:p w:rsidR="007F0229" w:rsidRDefault="007F0229">
            <w:pPr>
              <w:spacing w:line="240" w:lineRule="auto"/>
            </w:pPr>
          </w:p>
          <w:p w:rsidR="007F0229" w:rsidRDefault="00665AB1">
            <w:pPr>
              <w:spacing w:line="240" w:lineRule="auto"/>
            </w:pPr>
            <w:r>
              <w:t xml:space="preserve">Manuel Mora y Araujo (2005). El poder de la conversación. Buenos Aires, La </w:t>
            </w:r>
            <w:r>
              <w:t>Crujía, 2005.</w:t>
            </w:r>
          </w:p>
          <w:p w:rsidR="007F0229" w:rsidRDefault="007F0229">
            <w:pPr>
              <w:spacing w:line="240" w:lineRule="auto"/>
            </w:pPr>
          </w:p>
          <w:p w:rsidR="007F0229" w:rsidRDefault="00665AB1">
            <w:pPr>
              <w:spacing w:line="240" w:lineRule="auto"/>
            </w:pPr>
            <w:proofErr w:type="spellStart"/>
            <w:r>
              <w:t>Pariser</w:t>
            </w:r>
            <w:proofErr w:type="spellEnd"/>
            <w:r>
              <w:t xml:space="preserve">, E. (2017), El filtro burbuja, cómo la burbuja decide lo que leemos y lo que pensamos, </w:t>
            </w:r>
            <w:proofErr w:type="spellStart"/>
            <w:r>
              <w:t>Penguim</w:t>
            </w:r>
            <w:proofErr w:type="spellEnd"/>
            <w:r>
              <w:t xml:space="preserve"> </w:t>
            </w:r>
            <w:proofErr w:type="spellStart"/>
            <w:r>
              <w:t>Random</w:t>
            </w:r>
            <w:proofErr w:type="spellEnd"/>
            <w:r>
              <w:t xml:space="preserve"> </w:t>
            </w:r>
            <w:proofErr w:type="spellStart"/>
            <w:r>
              <w:t>House</w:t>
            </w:r>
            <w:proofErr w:type="spellEnd"/>
            <w:r>
              <w:t>, España.</w:t>
            </w:r>
          </w:p>
          <w:p w:rsidR="007F0229" w:rsidRDefault="007F0229">
            <w:pPr>
              <w:spacing w:line="240" w:lineRule="auto"/>
            </w:pPr>
          </w:p>
          <w:p w:rsidR="007F0229" w:rsidRDefault="00665AB1">
            <w:pPr>
              <w:spacing w:line="240" w:lineRule="auto"/>
            </w:pPr>
            <w:r>
              <w:t>Pont, Carles y otros, Análisis de la credibilidad de la información política en el entorno digital (Facebook, Whats</w:t>
            </w:r>
            <w:r>
              <w:t xml:space="preserve">App, prensa digital y televisión), </w:t>
            </w:r>
            <w:proofErr w:type="spellStart"/>
            <w:r>
              <w:t>YouGov</w:t>
            </w:r>
            <w:proofErr w:type="spellEnd"/>
            <w:r>
              <w:t xml:space="preserve"> </w:t>
            </w:r>
            <w:proofErr w:type="spellStart"/>
            <w:r>
              <w:t>Spain</w:t>
            </w:r>
            <w:proofErr w:type="spellEnd"/>
            <w:r>
              <w:t>.</w:t>
            </w:r>
          </w:p>
          <w:p w:rsidR="007F0229" w:rsidRDefault="007F0229">
            <w:pPr>
              <w:spacing w:line="240" w:lineRule="auto"/>
            </w:pPr>
          </w:p>
          <w:p w:rsidR="007F0229" w:rsidRDefault="00665AB1">
            <w:pPr>
              <w:spacing w:line="240" w:lineRule="auto"/>
            </w:pPr>
            <w:proofErr w:type="spellStart"/>
            <w:r>
              <w:t>Romé</w:t>
            </w:r>
            <w:proofErr w:type="spellEnd"/>
            <w:r>
              <w:t xml:space="preserve">, </w:t>
            </w:r>
            <w:proofErr w:type="spellStart"/>
            <w:r>
              <w:t>Hernandez</w:t>
            </w:r>
            <w:proofErr w:type="spellEnd"/>
            <w:r>
              <w:t xml:space="preserve">, </w:t>
            </w:r>
            <w:proofErr w:type="spellStart"/>
            <w:r>
              <w:t>Ré</w:t>
            </w:r>
            <w:proofErr w:type="spellEnd"/>
            <w:r>
              <w:t xml:space="preserve">, Sosa, AMDI, Análisis Materialista del Discurso Ideológico, Ed. </w:t>
            </w:r>
            <w:proofErr w:type="spellStart"/>
            <w:r>
              <w:t>Mimeo</w:t>
            </w:r>
            <w:proofErr w:type="spellEnd"/>
            <w:r>
              <w:t xml:space="preserve"> (en prensa)</w:t>
            </w:r>
          </w:p>
          <w:p w:rsidR="007F0229" w:rsidRDefault="007F0229">
            <w:pPr>
              <w:spacing w:line="240" w:lineRule="auto"/>
            </w:pPr>
          </w:p>
          <w:p w:rsidR="007F0229" w:rsidRDefault="00665AB1">
            <w:pPr>
              <w:spacing w:line="240" w:lineRule="auto"/>
            </w:pPr>
            <w:proofErr w:type="spellStart"/>
            <w:r>
              <w:t>Rouvroy</w:t>
            </w:r>
            <w:proofErr w:type="spellEnd"/>
            <w:r>
              <w:t xml:space="preserve">, </w:t>
            </w:r>
            <w:proofErr w:type="spellStart"/>
            <w:r>
              <w:t>Antoinette</w:t>
            </w:r>
            <w:proofErr w:type="spellEnd"/>
            <w:r>
              <w:t xml:space="preserve"> y </w:t>
            </w:r>
            <w:proofErr w:type="spellStart"/>
            <w:r>
              <w:t>Berns</w:t>
            </w:r>
            <w:proofErr w:type="spellEnd"/>
            <w:r>
              <w:t>, Thomas (2016). “</w:t>
            </w:r>
            <w:proofErr w:type="spellStart"/>
            <w:r>
              <w:t>Gubernamentalidad</w:t>
            </w:r>
            <w:proofErr w:type="spellEnd"/>
            <w:r>
              <w:t xml:space="preserve"> algorítmica y perspectivas de emancipaci</w:t>
            </w:r>
            <w:r>
              <w:t>ón ¿La disparidad como condición de individuación a través de la relación?”. En Adenda filosófica, nro. 1, Editorial Doble Ciencia, Chile.</w:t>
            </w:r>
          </w:p>
          <w:p w:rsidR="007F0229" w:rsidRDefault="007F0229">
            <w:pPr>
              <w:spacing w:line="240" w:lineRule="auto"/>
            </w:pPr>
          </w:p>
          <w:p w:rsidR="007F0229" w:rsidRDefault="00665AB1">
            <w:pPr>
              <w:spacing w:line="240" w:lineRule="auto"/>
            </w:pPr>
            <w:proofErr w:type="spellStart"/>
            <w:r>
              <w:t>Scolari</w:t>
            </w:r>
            <w:proofErr w:type="spellEnd"/>
            <w:r>
              <w:t xml:space="preserve">, Carlos A. (ed.) (2013). Homo </w:t>
            </w:r>
            <w:proofErr w:type="spellStart"/>
            <w:r>
              <w:t>Videoludens</w:t>
            </w:r>
            <w:proofErr w:type="spellEnd"/>
            <w:r>
              <w:t xml:space="preserve"> 2.0. De </w:t>
            </w:r>
            <w:proofErr w:type="spellStart"/>
            <w:r>
              <w:t>Pacman</w:t>
            </w:r>
            <w:proofErr w:type="spellEnd"/>
            <w:r>
              <w:t xml:space="preserve"> a la </w:t>
            </w:r>
            <w:proofErr w:type="spellStart"/>
            <w:r>
              <w:t>gamification</w:t>
            </w:r>
            <w:proofErr w:type="spellEnd"/>
            <w:r>
              <w:t xml:space="preserve">. </w:t>
            </w:r>
            <w:proofErr w:type="spellStart"/>
            <w:r>
              <w:t>Col·lecció</w:t>
            </w:r>
            <w:proofErr w:type="spellEnd"/>
            <w:r>
              <w:t xml:space="preserve"> </w:t>
            </w:r>
            <w:proofErr w:type="spellStart"/>
            <w:r>
              <w:t>Transmedia</w:t>
            </w:r>
            <w:proofErr w:type="spellEnd"/>
            <w:r>
              <w:t xml:space="preserve"> XXI. </w:t>
            </w:r>
            <w:proofErr w:type="spellStart"/>
            <w:r>
              <w:t>Labor</w:t>
            </w:r>
            <w:r>
              <w:t>atori</w:t>
            </w:r>
            <w:proofErr w:type="spellEnd"/>
            <w:r>
              <w:t xml:space="preserve"> de </w:t>
            </w:r>
            <w:proofErr w:type="spellStart"/>
            <w:r>
              <w:t>Mitjans</w:t>
            </w:r>
            <w:proofErr w:type="spellEnd"/>
            <w:r>
              <w:t xml:space="preserve"> </w:t>
            </w:r>
            <w:proofErr w:type="spellStart"/>
            <w:r>
              <w:t>Interactius</w:t>
            </w:r>
            <w:proofErr w:type="spellEnd"/>
            <w:r>
              <w:t xml:space="preserve">. </w:t>
            </w:r>
            <w:proofErr w:type="spellStart"/>
            <w:r>
              <w:t>Universitat</w:t>
            </w:r>
            <w:proofErr w:type="spellEnd"/>
            <w:r>
              <w:t xml:space="preserve"> de Barcelona. Barcelona.</w:t>
            </w:r>
          </w:p>
          <w:p w:rsidR="007F0229" w:rsidRDefault="007F0229">
            <w:pPr>
              <w:spacing w:line="240" w:lineRule="auto"/>
            </w:pPr>
          </w:p>
          <w:p w:rsidR="007F0229" w:rsidRDefault="00665AB1">
            <w:pPr>
              <w:spacing w:line="240" w:lineRule="auto"/>
            </w:pPr>
            <w:r>
              <w:t xml:space="preserve">Smith, Marc y otros (2014), </w:t>
            </w:r>
            <w:proofErr w:type="spellStart"/>
            <w:r>
              <w:t>Mapping</w:t>
            </w:r>
            <w:proofErr w:type="spellEnd"/>
            <w:r>
              <w:t xml:space="preserve"> Twitter </w:t>
            </w:r>
            <w:proofErr w:type="spellStart"/>
            <w:r>
              <w:t>Topic</w:t>
            </w:r>
            <w:proofErr w:type="spellEnd"/>
            <w:r>
              <w:t xml:space="preserve"> Networks: </w:t>
            </w:r>
            <w:proofErr w:type="spellStart"/>
            <w:r>
              <w:t>From</w:t>
            </w:r>
            <w:proofErr w:type="spellEnd"/>
            <w:r>
              <w:t xml:space="preserve"> </w:t>
            </w:r>
            <w:proofErr w:type="spellStart"/>
            <w:r>
              <w:t>Polarized</w:t>
            </w:r>
            <w:proofErr w:type="spellEnd"/>
            <w:r>
              <w:t xml:space="preserve"> </w:t>
            </w:r>
            <w:proofErr w:type="spellStart"/>
            <w:r>
              <w:t>Crowds</w:t>
            </w:r>
            <w:proofErr w:type="spellEnd"/>
            <w:r>
              <w:t xml:space="preserve"> to </w:t>
            </w:r>
            <w:proofErr w:type="spellStart"/>
            <w:r>
              <w:lastRenderedPageBreak/>
              <w:t>Community</w:t>
            </w:r>
            <w:proofErr w:type="spellEnd"/>
            <w:r>
              <w:t xml:space="preserve"> </w:t>
            </w:r>
            <w:proofErr w:type="spellStart"/>
            <w:r>
              <w:t>Clusters</w:t>
            </w:r>
            <w:proofErr w:type="spellEnd"/>
            <w:r>
              <w:t>, disponible en http://www.pewinternet.org/2014/02/20/mapping-twitter-topic-networks-</w:t>
            </w:r>
            <w:r>
              <w:t>from-polarized-crowds-to-community-clusters</w:t>
            </w:r>
          </w:p>
          <w:p w:rsidR="007F0229" w:rsidRDefault="007F0229">
            <w:pPr>
              <w:spacing w:line="240" w:lineRule="auto"/>
            </w:pPr>
          </w:p>
          <w:p w:rsidR="007F0229" w:rsidRDefault="00665AB1">
            <w:pPr>
              <w:spacing w:line="240" w:lineRule="auto"/>
            </w:pPr>
            <w:proofErr w:type="spellStart"/>
            <w:r>
              <w:t>Shenkman</w:t>
            </w:r>
            <w:proofErr w:type="spellEnd"/>
            <w:r>
              <w:t xml:space="preserve">, Carey, </w:t>
            </w:r>
            <w:proofErr w:type="spellStart"/>
            <w:r>
              <w:t>Thakur</w:t>
            </w:r>
            <w:proofErr w:type="spellEnd"/>
            <w:r>
              <w:t xml:space="preserve">, </w:t>
            </w:r>
            <w:proofErr w:type="spellStart"/>
            <w:r>
              <w:t>Dhanaraj</w:t>
            </w:r>
            <w:proofErr w:type="spellEnd"/>
            <w:r>
              <w:t xml:space="preserve"> y </w:t>
            </w:r>
            <w:proofErr w:type="spellStart"/>
            <w:r>
              <w:t>Llansó</w:t>
            </w:r>
            <w:proofErr w:type="spellEnd"/>
            <w:r>
              <w:t xml:space="preserve">, Emma (2021), Do </w:t>
            </w:r>
            <w:proofErr w:type="spellStart"/>
            <w:r>
              <w:t>You</w:t>
            </w:r>
            <w:proofErr w:type="spellEnd"/>
            <w:r>
              <w:t xml:space="preserve"> </w:t>
            </w:r>
            <w:proofErr w:type="spellStart"/>
            <w:r>
              <w:t>See</w:t>
            </w:r>
            <w:proofErr w:type="spellEnd"/>
            <w:r>
              <w:t xml:space="preserve"> </w:t>
            </w:r>
            <w:proofErr w:type="spellStart"/>
            <w:r>
              <w:t>What</w:t>
            </w:r>
            <w:proofErr w:type="spellEnd"/>
            <w:r>
              <w:t xml:space="preserve"> I </w:t>
            </w:r>
            <w:proofErr w:type="spellStart"/>
            <w:r>
              <w:t>See</w:t>
            </w:r>
            <w:proofErr w:type="spellEnd"/>
            <w:r>
              <w:t xml:space="preserve">?, </w:t>
            </w:r>
            <w:proofErr w:type="spellStart"/>
            <w:r>
              <w:t>Capabilities</w:t>
            </w:r>
            <w:proofErr w:type="spellEnd"/>
            <w:r>
              <w:t xml:space="preserve"> and </w:t>
            </w:r>
            <w:proofErr w:type="spellStart"/>
            <w:r>
              <w:t>Limits</w:t>
            </w:r>
            <w:proofErr w:type="spellEnd"/>
            <w:r>
              <w:t xml:space="preserve"> of </w:t>
            </w:r>
            <w:proofErr w:type="spellStart"/>
            <w:r>
              <w:t>Automated</w:t>
            </w:r>
            <w:proofErr w:type="spellEnd"/>
            <w:r>
              <w:t xml:space="preserve"> Multimedia Content </w:t>
            </w:r>
            <w:proofErr w:type="spellStart"/>
            <w:r>
              <w:t>Analysis</w:t>
            </w:r>
            <w:proofErr w:type="spellEnd"/>
            <w:r>
              <w:t>.</w:t>
            </w:r>
          </w:p>
          <w:p w:rsidR="007F0229" w:rsidRDefault="007F0229">
            <w:pPr>
              <w:spacing w:line="240" w:lineRule="auto"/>
            </w:pPr>
          </w:p>
          <w:p w:rsidR="007F0229" w:rsidRDefault="00665AB1">
            <w:pPr>
              <w:spacing w:line="240" w:lineRule="auto"/>
            </w:pPr>
            <w:proofErr w:type="spellStart"/>
            <w:r>
              <w:t>Srnicek</w:t>
            </w:r>
            <w:proofErr w:type="spellEnd"/>
            <w:r>
              <w:t>, N., (2018), Capitalismo De Plataformas, Bs.As., Caja N</w:t>
            </w:r>
            <w:r>
              <w:t>egra.</w:t>
            </w:r>
          </w:p>
        </w:tc>
      </w:tr>
    </w:tbl>
    <w:p w:rsidR="007F0229" w:rsidRDefault="00665AB1">
      <w:pPr>
        <w:spacing w:before="480" w:after="120"/>
        <w:rPr>
          <w:b/>
          <w:sz w:val="36"/>
          <w:szCs w:val="36"/>
        </w:rPr>
      </w:pPr>
      <w:r>
        <w:rPr>
          <w:b/>
          <w:sz w:val="36"/>
          <w:szCs w:val="36"/>
        </w:rPr>
        <w:lastRenderedPageBreak/>
        <w:t>7. MODALIDAD DE DICTADO</w:t>
      </w:r>
    </w:p>
    <w:tbl>
      <w:tblPr>
        <w:tblStyle w:val="af4"/>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09"/>
        <w:gridCol w:w="3008"/>
        <w:gridCol w:w="3008"/>
      </w:tblGrid>
      <w:tr w:rsidR="007F0229">
        <w:trPr>
          <w:trHeight w:val="495"/>
        </w:trPr>
        <w:tc>
          <w:tcPr>
            <w:tcW w:w="3008"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7F0229" w:rsidRDefault="00665AB1">
            <w:pPr>
              <w:spacing w:before="240"/>
              <w:jc w:val="center"/>
              <w:rPr>
                <w:b/>
              </w:rPr>
            </w:pPr>
            <w:r>
              <w:rPr>
                <w:b/>
              </w:rPr>
              <w:t>PRESENCIAL</w:t>
            </w:r>
          </w:p>
        </w:tc>
        <w:tc>
          <w:tcPr>
            <w:tcW w:w="3008"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rsidR="007F0229" w:rsidRDefault="00665AB1">
            <w:pPr>
              <w:spacing w:before="240"/>
              <w:jc w:val="center"/>
              <w:rPr>
                <w:b/>
              </w:rPr>
            </w:pPr>
            <w:r>
              <w:rPr>
                <w:b/>
              </w:rPr>
              <w:t>VIRTUAL</w:t>
            </w:r>
          </w:p>
        </w:tc>
        <w:tc>
          <w:tcPr>
            <w:tcW w:w="3008"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rsidR="007F0229" w:rsidRDefault="00665AB1">
            <w:pPr>
              <w:spacing w:before="240"/>
              <w:jc w:val="center"/>
              <w:rPr>
                <w:b/>
              </w:rPr>
            </w:pPr>
            <w:r>
              <w:rPr>
                <w:b/>
              </w:rPr>
              <w:t>SEMI-PRESENCIAL</w:t>
            </w:r>
          </w:p>
        </w:tc>
      </w:tr>
      <w:tr w:rsidR="007F0229">
        <w:trPr>
          <w:trHeight w:val="495"/>
        </w:trPr>
        <w:tc>
          <w:tcPr>
            <w:tcW w:w="30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before="240"/>
              <w:jc w:val="center"/>
            </w:pPr>
            <w:r>
              <w:t xml:space="preserve"> </w:t>
            </w:r>
          </w:p>
        </w:tc>
        <w:tc>
          <w:tcPr>
            <w:tcW w:w="3008" w:type="dxa"/>
            <w:tcBorders>
              <w:top w:val="nil"/>
              <w:left w:val="nil"/>
              <w:bottom w:val="single" w:sz="8" w:space="0" w:color="000000"/>
              <w:right w:val="single" w:sz="8" w:space="0" w:color="000000"/>
            </w:tcBorders>
            <w:tcMar>
              <w:top w:w="100" w:type="dxa"/>
              <w:left w:w="100" w:type="dxa"/>
              <w:bottom w:w="100" w:type="dxa"/>
              <w:right w:w="100" w:type="dxa"/>
            </w:tcMar>
          </w:tcPr>
          <w:p w:rsidR="007F0229" w:rsidRDefault="007F0229">
            <w:pPr>
              <w:spacing w:before="240"/>
              <w:jc w:val="center"/>
            </w:pPr>
          </w:p>
        </w:tc>
        <w:tc>
          <w:tcPr>
            <w:tcW w:w="3008" w:type="dxa"/>
            <w:tcBorders>
              <w:top w:val="nil"/>
              <w:left w:val="nil"/>
              <w:bottom w:val="single" w:sz="8" w:space="0" w:color="000000"/>
              <w:right w:val="single" w:sz="8" w:space="0" w:color="000000"/>
            </w:tcBorders>
            <w:tcMar>
              <w:top w:w="100" w:type="dxa"/>
              <w:left w:w="100" w:type="dxa"/>
              <w:bottom w:w="100" w:type="dxa"/>
              <w:right w:w="100" w:type="dxa"/>
            </w:tcMar>
          </w:tcPr>
          <w:p w:rsidR="007F0229" w:rsidRDefault="00665AB1">
            <w:pPr>
              <w:spacing w:before="240"/>
              <w:jc w:val="center"/>
            </w:pPr>
            <w:r>
              <w:t xml:space="preserve"> X</w:t>
            </w:r>
          </w:p>
        </w:tc>
      </w:tr>
    </w:tbl>
    <w:p w:rsidR="007F0229" w:rsidRDefault="00665AB1">
      <w:pPr>
        <w:spacing w:before="480" w:after="120"/>
        <w:rPr>
          <w:b/>
          <w:sz w:val="36"/>
          <w:szCs w:val="36"/>
        </w:rPr>
      </w:pPr>
      <w:r>
        <w:rPr>
          <w:b/>
          <w:sz w:val="36"/>
          <w:szCs w:val="36"/>
        </w:rPr>
        <w:t>8. MODALIDAD DE EVALUACIÓN</w:t>
      </w:r>
    </w:p>
    <w:tbl>
      <w:tblPr>
        <w:tblStyle w:val="af5"/>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229" w:rsidRDefault="00665AB1">
            <w:pPr>
              <w:spacing w:before="240"/>
            </w:pPr>
            <w:r>
              <w:t>Trabajo práctico final que incluye un análisis del escenario digital y el desarrollo de una estrategia de comunicación digital para un funcionario/a, candidato/a o institución pública. Contemplando el desarrollo de las creatividades, una estrategia de dist</w:t>
            </w:r>
            <w:r>
              <w:t>ribución y de difusión/publicidad con sus etapas y temporalidades. La aplicación de los conocimientos adquiridos sobre las plataformas y el uso aplicado a lo netamente político.</w:t>
            </w:r>
          </w:p>
        </w:tc>
      </w:tr>
    </w:tbl>
    <w:p w:rsidR="007F0229" w:rsidRDefault="00665AB1">
      <w:pPr>
        <w:spacing w:before="360" w:after="80"/>
        <w:rPr>
          <w:b/>
          <w:sz w:val="32"/>
          <w:szCs w:val="32"/>
        </w:rPr>
      </w:pPr>
      <w:r>
        <w:rPr>
          <w:b/>
          <w:sz w:val="32"/>
          <w:szCs w:val="32"/>
        </w:rPr>
        <w:t>9. DURACIÓN</w:t>
      </w:r>
    </w:p>
    <w:tbl>
      <w:tblPr>
        <w:tblStyle w:val="af6"/>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61"/>
        <w:gridCol w:w="4564"/>
      </w:tblGrid>
      <w:tr w:rsidR="007F0229">
        <w:trPr>
          <w:trHeight w:val="54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tcPr>
          <w:p w:rsidR="007F0229" w:rsidRDefault="00665AB1">
            <w:pPr>
              <w:spacing w:before="240" w:after="240"/>
              <w:jc w:val="center"/>
              <w:rPr>
                <w:b/>
                <w:sz w:val="28"/>
                <w:szCs w:val="28"/>
              </w:rPr>
            </w:pPr>
            <w:r>
              <w:rPr>
                <w:b/>
                <w:sz w:val="28"/>
                <w:szCs w:val="28"/>
              </w:rPr>
              <w:t>CARGA HORARIA</w:t>
            </w:r>
          </w:p>
        </w:tc>
      </w:tr>
      <w:tr w:rsidR="007F0229">
        <w:trPr>
          <w:trHeight w:val="495"/>
        </w:trPr>
        <w:tc>
          <w:tcPr>
            <w:tcW w:w="9024" w:type="dxa"/>
            <w:gridSpan w:val="2"/>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after="240"/>
              <w:jc w:val="center"/>
              <w:rPr>
                <w:b/>
              </w:rPr>
            </w:pPr>
            <w:r>
              <w:rPr>
                <w:b/>
              </w:rPr>
              <w:t>CARGA HORARIA TOTAL</w:t>
            </w:r>
          </w:p>
        </w:tc>
      </w:tr>
      <w:tr w:rsidR="007F0229">
        <w:trPr>
          <w:trHeight w:val="705"/>
        </w:trPr>
        <w:tc>
          <w:tcPr>
            <w:tcW w:w="902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229" w:rsidRDefault="00665AB1">
            <w:pPr>
              <w:spacing w:before="240" w:after="240"/>
              <w:jc w:val="center"/>
              <w:rPr>
                <w:b/>
              </w:rPr>
            </w:pPr>
            <w:r>
              <w:rPr>
                <w:b/>
              </w:rPr>
              <w:t xml:space="preserve">20 </w:t>
            </w:r>
          </w:p>
        </w:tc>
      </w:tr>
      <w:tr w:rsidR="007F0229">
        <w:trPr>
          <w:trHeight w:val="495"/>
        </w:trPr>
        <w:tc>
          <w:tcPr>
            <w:tcW w:w="9024" w:type="dxa"/>
            <w:gridSpan w:val="2"/>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after="240"/>
              <w:jc w:val="center"/>
              <w:rPr>
                <w:b/>
              </w:rPr>
            </w:pPr>
            <w:r>
              <w:rPr>
                <w:b/>
              </w:rPr>
              <w:t>CANTIDAD DE CLASES TOTALES</w:t>
            </w:r>
          </w:p>
        </w:tc>
      </w:tr>
      <w:tr w:rsidR="007F0229">
        <w:trPr>
          <w:trHeight w:val="495"/>
        </w:trPr>
        <w:tc>
          <w:tcPr>
            <w:tcW w:w="902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229" w:rsidRDefault="00665AB1">
            <w:pPr>
              <w:spacing w:before="240" w:after="240"/>
              <w:jc w:val="center"/>
              <w:rPr>
                <w:b/>
              </w:rPr>
            </w:pPr>
            <w:r>
              <w:rPr>
                <w:b/>
              </w:rPr>
              <w:t xml:space="preserve"> 10</w:t>
            </w:r>
          </w:p>
        </w:tc>
      </w:tr>
      <w:tr w:rsidR="007F0229">
        <w:trPr>
          <w:trHeight w:val="695"/>
        </w:trPr>
        <w:tc>
          <w:tcPr>
            <w:tcW w:w="4461" w:type="dxa"/>
            <w:tcBorders>
              <w:top w:val="nil"/>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after="240"/>
              <w:jc w:val="center"/>
              <w:rPr>
                <w:b/>
              </w:rPr>
            </w:pPr>
            <w:r>
              <w:rPr>
                <w:b/>
              </w:rPr>
              <w:lastRenderedPageBreak/>
              <w:t>SINCRÓNICA</w:t>
            </w:r>
          </w:p>
        </w:tc>
        <w:tc>
          <w:tcPr>
            <w:tcW w:w="4563" w:type="dxa"/>
            <w:tcBorders>
              <w:top w:val="nil"/>
              <w:left w:val="nil"/>
              <w:bottom w:val="single" w:sz="8" w:space="0" w:color="000000"/>
              <w:right w:val="single" w:sz="8" w:space="0" w:color="000000"/>
            </w:tcBorders>
            <w:shd w:val="clear" w:color="auto" w:fill="999999"/>
            <w:tcMar>
              <w:top w:w="100" w:type="dxa"/>
              <w:left w:w="100" w:type="dxa"/>
              <w:bottom w:w="100" w:type="dxa"/>
              <w:right w:w="100" w:type="dxa"/>
            </w:tcMar>
          </w:tcPr>
          <w:p w:rsidR="007F0229" w:rsidRDefault="00665AB1">
            <w:pPr>
              <w:spacing w:before="240" w:after="240"/>
              <w:jc w:val="center"/>
              <w:rPr>
                <w:b/>
              </w:rPr>
            </w:pPr>
            <w:r>
              <w:rPr>
                <w:b/>
              </w:rPr>
              <w:t>ASINCRÓNICA</w:t>
            </w:r>
          </w:p>
        </w:tc>
      </w:tr>
      <w:tr w:rsidR="007F0229">
        <w:trPr>
          <w:trHeight w:val="695"/>
        </w:trPr>
        <w:tc>
          <w:tcPr>
            <w:tcW w:w="44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229" w:rsidRDefault="00665AB1">
            <w:pPr>
              <w:spacing w:before="240" w:after="240"/>
              <w:jc w:val="center"/>
              <w:rPr>
                <w:b/>
              </w:rPr>
            </w:pPr>
            <w:r>
              <w:rPr>
                <w:b/>
              </w:rPr>
              <w:t xml:space="preserve"> X</w:t>
            </w:r>
          </w:p>
        </w:tc>
        <w:tc>
          <w:tcPr>
            <w:tcW w:w="45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F0229" w:rsidRDefault="00665AB1">
            <w:pPr>
              <w:spacing w:before="240" w:after="240"/>
              <w:jc w:val="center"/>
              <w:rPr>
                <w:b/>
              </w:rPr>
            </w:pPr>
            <w:r>
              <w:rPr>
                <w:b/>
              </w:rPr>
              <w:t xml:space="preserve"> </w:t>
            </w:r>
          </w:p>
        </w:tc>
      </w:tr>
    </w:tbl>
    <w:p w:rsidR="009B542A" w:rsidRDefault="00665AB1" w:rsidP="009B542A">
      <w:pPr>
        <w:spacing w:before="360" w:after="80"/>
        <w:rPr>
          <w:b/>
          <w:sz w:val="32"/>
          <w:szCs w:val="32"/>
        </w:rPr>
      </w:pPr>
      <w:r>
        <w:rPr>
          <w:b/>
          <w:sz w:val="32"/>
          <w:szCs w:val="32"/>
        </w:rPr>
        <w:t xml:space="preserve"> </w:t>
      </w:r>
    </w:p>
    <w:p w:rsidR="007F0229" w:rsidRPr="009B542A" w:rsidRDefault="00665AB1" w:rsidP="009B542A">
      <w:pPr>
        <w:spacing w:before="360" w:after="80"/>
        <w:rPr>
          <w:b/>
          <w:sz w:val="32"/>
          <w:szCs w:val="32"/>
        </w:rPr>
      </w:pPr>
      <w:r>
        <w:rPr>
          <w:b/>
          <w:sz w:val="36"/>
          <w:szCs w:val="36"/>
        </w:rPr>
        <w:t>10. REQUISITOS MÍNIMOS DE INSCRIPCIÓN</w:t>
      </w:r>
    </w:p>
    <w:tbl>
      <w:tblPr>
        <w:tblStyle w:val="af8"/>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7F0229">
        <w:trPr>
          <w:trHeight w:val="495"/>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229" w:rsidRDefault="00665AB1">
            <w:pPr>
              <w:spacing w:before="240" w:after="240"/>
            </w:pPr>
            <w:r>
              <w:t>Secundario completo</w:t>
            </w:r>
          </w:p>
          <w:p w:rsidR="007F0229" w:rsidRDefault="00665AB1">
            <w:pPr>
              <w:spacing w:before="240" w:after="240"/>
            </w:pPr>
            <w:r>
              <w:t>Encontrarse cursando Ciencias de la Comunicación o afín.</w:t>
            </w:r>
          </w:p>
          <w:p w:rsidR="007F0229" w:rsidRDefault="00665AB1">
            <w:pPr>
              <w:spacing w:before="240" w:after="240"/>
            </w:pPr>
            <w:proofErr w:type="spellStart"/>
            <w:r>
              <w:t>Lecto</w:t>
            </w:r>
            <w:proofErr w:type="spellEnd"/>
            <w:r>
              <w:t xml:space="preserve"> comprensión en inglés (recomendable)</w:t>
            </w:r>
          </w:p>
        </w:tc>
      </w:tr>
    </w:tbl>
    <w:p w:rsidR="007F0229" w:rsidRDefault="007F0229" w:rsidP="009B542A">
      <w:pPr>
        <w:spacing w:before="480"/>
        <w:ind w:left="-140"/>
        <w:jc w:val="center"/>
      </w:pPr>
      <w:bookmarkStart w:id="0" w:name="_GoBack"/>
      <w:bookmarkEnd w:id="0"/>
    </w:p>
    <w:sectPr w:rsidR="007F0229">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B1" w:rsidRDefault="00665AB1" w:rsidP="009B542A">
      <w:pPr>
        <w:spacing w:line="240" w:lineRule="auto"/>
      </w:pPr>
      <w:r>
        <w:separator/>
      </w:r>
    </w:p>
  </w:endnote>
  <w:endnote w:type="continuationSeparator" w:id="0">
    <w:p w:rsidR="00665AB1" w:rsidRDefault="00665AB1" w:rsidP="009B5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B1" w:rsidRDefault="00665AB1" w:rsidP="009B542A">
      <w:pPr>
        <w:spacing w:line="240" w:lineRule="auto"/>
      </w:pPr>
      <w:r>
        <w:separator/>
      </w:r>
    </w:p>
  </w:footnote>
  <w:footnote w:type="continuationSeparator" w:id="0">
    <w:p w:rsidR="00665AB1" w:rsidRDefault="00665AB1" w:rsidP="009B54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42A" w:rsidRDefault="009B542A">
    <w:pPr>
      <w:pStyle w:val="Encabezado"/>
    </w:pPr>
    <w:r>
      <w:rPr>
        <w:noProof/>
        <w:lang w:val="es-AR"/>
      </w:rPr>
      <w:drawing>
        <wp:anchor distT="0" distB="0" distL="114300" distR="114300" simplePos="0" relativeHeight="251659264" behindDoc="1" locked="0" layoutInCell="1" allowOverlap="1" wp14:anchorId="45751CFC" wp14:editId="38E5DBD2">
          <wp:simplePos x="0" y="0"/>
          <wp:positionH relativeFrom="column">
            <wp:posOffset>-1261110</wp:posOffset>
          </wp:positionH>
          <wp:positionV relativeFrom="paragraph">
            <wp:posOffset>-812165</wp:posOffset>
          </wp:positionV>
          <wp:extent cx="8265468" cy="2014331"/>
          <wp:effectExtent l="0" t="0" r="254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jpg"/>
                  <pic:cNvPicPr/>
                </pic:nvPicPr>
                <pic:blipFill>
                  <a:blip r:embed="rId1">
                    <a:extLst>
                      <a:ext uri="{28A0092B-C50C-407E-A947-70E740481C1C}">
                        <a14:useLocalDpi xmlns:a14="http://schemas.microsoft.com/office/drawing/2010/main" val="0"/>
                      </a:ext>
                    </a:extLst>
                  </a:blip>
                  <a:stretch>
                    <a:fillRect/>
                  </a:stretch>
                </pic:blipFill>
                <pic:spPr>
                  <a:xfrm>
                    <a:off x="0" y="0"/>
                    <a:ext cx="8265468" cy="20143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0229"/>
    <w:rsid w:val="00665AB1"/>
    <w:rsid w:val="007F0229"/>
    <w:rsid w:val="009B54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B5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B542A"/>
  </w:style>
  <w:style w:type="paragraph" w:styleId="Piedepgina">
    <w:name w:val="footer"/>
    <w:basedOn w:val="Normal"/>
    <w:link w:val="PiedepginaCar"/>
    <w:uiPriority w:val="99"/>
    <w:unhideWhenUsed/>
    <w:rsid w:val="009B5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B5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B5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B542A"/>
  </w:style>
  <w:style w:type="paragraph" w:styleId="Piedepgina">
    <w:name w:val="footer"/>
    <w:basedOn w:val="Normal"/>
    <w:link w:val="PiedepginaCar"/>
    <w:uiPriority w:val="99"/>
    <w:unhideWhenUsed/>
    <w:rsid w:val="009B5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B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mnistia.org.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ademia.edu/40383844/El_voto_de_los_bots_-_Producci%C3%B3n_de_apoyo_pol%C3%ADtico_con_cuentas_automatizadas_en_YoVoto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5l3n3bI831XsyNwwN5zY5t66g==">CgMxLjA4AHIhMTJTbWltbkhJcndlSzM1WmhSWGR1eGplYUlkNUIxQng5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1323</Words>
  <Characters>7278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cp:lastModifiedBy>
  <cp:revision>2</cp:revision>
  <dcterms:created xsi:type="dcterms:W3CDTF">2023-08-08T18:07:00Z</dcterms:created>
  <dcterms:modified xsi:type="dcterms:W3CDTF">2023-08-08T18:11:00Z</dcterms:modified>
</cp:coreProperties>
</file>