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57" w:rsidRDefault="007F6357" w:rsidP="007F6357">
      <w:pPr>
        <w:spacing w:line="240" w:lineRule="auto"/>
        <w:ind w:leftChars="0" w:left="2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F6357" w:rsidRDefault="007F6357" w:rsidP="007F6357">
      <w:pPr>
        <w:spacing w:line="240" w:lineRule="auto"/>
        <w:ind w:leftChars="0" w:left="2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F6357" w:rsidRDefault="007F6357" w:rsidP="007F6357">
      <w:pPr>
        <w:spacing w:line="240" w:lineRule="auto"/>
        <w:ind w:leftChars="0" w:left="2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</w:t>
      </w:r>
    </w:p>
    <w:p w:rsidR="007F6357" w:rsidRPr="007F6357" w:rsidRDefault="007F6357" w:rsidP="007F6357">
      <w:pPr>
        <w:spacing w:line="240" w:lineRule="auto"/>
        <w:ind w:leftChars="0" w:left="2" w:hanging="2"/>
        <w:jc w:val="center"/>
        <w:rPr>
          <w:rFonts w:asciiTheme="minorHAnsi" w:eastAsia="Arial" w:hAnsiTheme="minorHAnsi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Información importante para la </w:t>
      </w:r>
      <w:r w:rsidRPr="007F6357">
        <w:rPr>
          <w:rFonts w:asciiTheme="minorHAnsi" w:eastAsia="Arial" w:hAnsiTheme="minorHAnsi" w:cs="Arial"/>
          <w:b/>
          <w:color w:val="000000"/>
        </w:rPr>
        <w:t>presentación de la propuesta de seminario doctoral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Acerca del Programa:</w:t>
      </w:r>
      <w:r w:rsidRPr="007F6357">
        <w:rPr>
          <w:rFonts w:asciiTheme="minorHAnsi" w:eastAsia="Arial" w:hAnsiTheme="minorHAnsi" w:cs="Arial"/>
          <w:color w:val="000000"/>
        </w:rPr>
        <w:t xml:space="preserve"> El Doctorado en Ciencias Sociales es personalizado, estructurado de acuerdo con los antecedentes de cada postulante y con el proyecto de investigación presentado. El plan de actividades académicas de cada estudiante incluye seminarios y talleres </w:t>
      </w:r>
      <w:r w:rsidRPr="007F6357">
        <w:rPr>
          <w:rFonts w:asciiTheme="minorHAnsi" w:eastAsia="Arial" w:hAnsiTheme="minorHAnsi" w:cs="Arial"/>
        </w:rPr>
        <w:t xml:space="preserve">(ver </w:t>
      </w:r>
      <w:hyperlink r:id="rId8" w:history="1">
        <w:r w:rsidRPr="007F6357">
          <w:rPr>
            <w:rStyle w:val="Hipervnculo"/>
            <w:rFonts w:asciiTheme="minorHAnsi" w:eastAsia="Arial" w:hAnsiTheme="minorHAnsi" w:cs="Arial"/>
            <w:color w:val="000000"/>
          </w:rPr>
          <w:t>www.sociales.uba.ar/doctorado</w:t>
        </w:r>
      </w:hyperlink>
      <w:r w:rsidRPr="007F6357">
        <w:rPr>
          <w:rFonts w:asciiTheme="minorHAnsi" w:eastAsia="Arial" w:hAnsiTheme="minorHAnsi" w:cs="Arial"/>
        </w:rPr>
        <w:t>)</w:t>
      </w:r>
      <w:r w:rsidRPr="007F6357">
        <w:rPr>
          <w:rFonts w:asciiTheme="minorHAnsi" w:eastAsia="Arial" w:hAnsiTheme="minorHAnsi" w:cs="Arial"/>
          <w:color w:val="000000"/>
        </w:rPr>
        <w:t>.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Asignaturas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color w:val="000000"/>
        </w:rPr>
        <w:t>A cada estudiante se le asigna una cantidad de créditos, que deben ser cubiertos mediante la cursada de seminarios y talleres. A estos efectos, el programa prevé la oferta de: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Seminarios generales (2 créditos):</w:t>
      </w:r>
      <w:r w:rsidRPr="007F6357">
        <w:rPr>
          <w:rFonts w:asciiTheme="minorHAnsi" w:eastAsia="Arial" w:hAnsiTheme="minorHAnsi" w:cs="Arial"/>
          <w:color w:val="000000"/>
        </w:rPr>
        <w:t xml:space="preserve"> Asignaturas que abordan los grandes temas y problemas del conocimiento social. Se espera que los seminarios generales, de 32 horas de duración, permitan actualizar el marco teórico y/o las estrategias metodológicas propias del área temática abordada.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Seminarios específicos (1 crédito):</w:t>
      </w:r>
      <w:r w:rsidRPr="007F6357">
        <w:rPr>
          <w:rFonts w:asciiTheme="minorHAnsi" w:eastAsia="Arial" w:hAnsiTheme="minorHAnsi" w:cs="Arial"/>
          <w:color w:val="000000"/>
        </w:rPr>
        <w:t xml:space="preserve"> Asignaturas que abordan problemas específicos o casos relevantes de las diferentes áreas de conocimiento de las ciencias sociales. Los seminarios específicos, de 16 horas de duración, apuntan a discutir avances de investigación relevantes para la labor de tesis. 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Taller I:</w:t>
      </w:r>
      <w:r w:rsidRPr="007F6357">
        <w:rPr>
          <w:rFonts w:asciiTheme="minorHAnsi" w:eastAsia="Arial" w:hAnsiTheme="minorHAnsi" w:cs="Arial"/>
          <w:color w:val="000000"/>
        </w:rPr>
        <w:t xml:space="preserve"> Este taller, de 32 horas de duración, apunta a diseñar un proyecto de investigación doctoral sólido en lo teórico-conceptual (definición de marcos teóricos o estados del arte), lo metodológico (explicitación de técnicas y métodos) y lo operativo (disposición secuencial de actividades y tareas).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Taller II:</w:t>
      </w:r>
      <w:r w:rsidRPr="007F6357">
        <w:rPr>
          <w:rFonts w:asciiTheme="minorHAnsi" w:eastAsia="Arial" w:hAnsiTheme="minorHAnsi" w:cs="Arial"/>
          <w:color w:val="000000"/>
        </w:rPr>
        <w:t xml:space="preserve"> Este taller, de 32 horas de duración, apunta al diseño del plan de tesis, lo que supone la definición de la estructura del texto de la tesis y la descripción analítica de los contenidos de cada sección. Se espera que este taller se curse una vez cubiertos todos los créditos </w:t>
      </w:r>
      <w:r w:rsidRPr="007F6357">
        <w:rPr>
          <w:rFonts w:asciiTheme="minorHAnsi" w:eastAsia="Arial" w:hAnsiTheme="minorHAnsi" w:cs="Arial"/>
        </w:rPr>
        <w:t>de los</w:t>
      </w:r>
      <w:r w:rsidRPr="007F6357">
        <w:rPr>
          <w:rFonts w:asciiTheme="minorHAnsi" w:eastAsia="Arial" w:hAnsiTheme="minorHAnsi" w:cs="Arial"/>
          <w:color w:val="000000"/>
        </w:rPr>
        <w:t xml:space="preserve"> seminarios asignados en la entrevista.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111111"/>
          <w:highlight w:val="white"/>
        </w:rPr>
      </w:pPr>
      <w:r w:rsidRPr="007F6357">
        <w:rPr>
          <w:rFonts w:asciiTheme="minorHAnsi" w:eastAsia="Arial" w:hAnsiTheme="minorHAnsi" w:cs="Arial"/>
          <w:color w:val="000000"/>
        </w:rPr>
        <w:tab/>
      </w:r>
      <w:r w:rsidRPr="007F6357">
        <w:rPr>
          <w:rFonts w:asciiTheme="minorHAnsi" w:eastAsia="Arial" w:hAnsiTheme="minorHAnsi" w:cs="Arial"/>
          <w:b/>
        </w:rPr>
        <w:t>Modalidades de dictado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000000"/>
        </w:rPr>
      </w:pPr>
    </w:p>
    <w:p w:rsidR="007F6357" w:rsidRPr="007F6357" w:rsidRDefault="007F6357" w:rsidP="007F6357">
      <w:pPr>
        <w:numPr>
          <w:ilvl w:val="0"/>
          <w:numId w:val="1"/>
        </w:num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 xml:space="preserve">Seminarios presenciales: </w:t>
      </w:r>
      <w:r w:rsidRPr="007F6357">
        <w:rPr>
          <w:rFonts w:asciiTheme="minorHAnsi" w:eastAsia="Arial" w:hAnsiTheme="minorHAnsi" w:cs="Arial"/>
          <w:color w:val="000000"/>
        </w:rPr>
        <w:t xml:space="preserve">Se desarrollan entre el lunes y el viernes de cada semana en la sede de la Facultad de Ciencias Sociales de Marcelo T. de Alvear 2230, Ciudad de Buenos Aires (ver Tabla 1). 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 xml:space="preserve">Seminarios generales: 2 créditos, 32 </w:t>
      </w:r>
      <w:proofErr w:type="spellStart"/>
      <w:r w:rsidRPr="007F6357">
        <w:rPr>
          <w:rFonts w:asciiTheme="minorHAnsi" w:eastAsia="Arial" w:hAnsiTheme="minorHAnsi" w:cs="Arial"/>
          <w:b/>
          <w:color w:val="000000"/>
        </w:rPr>
        <w:t>hs</w:t>
      </w:r>
      <w:proofErr w:type="spellEnd"/>
      <w:r w:rsidRPr="007F6357">
        <w:rPr>
          <w:rFonts w:asciiTheme="minorHAnsi" w:eastAsia="Arial" w:hAnsiTheme="minorHAnsi" w:cs="Arial"/>
          <w:b/>
          <w:color w:val="000000"/>
        </w:rPr>
        <w:t xml:space="preserve">., 8 clases de 4hs. 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Seminarios específicos</w:t>
      </w:r>
      <w:r w:rsidRPr="007F6357">
        <w:rPr>
          <w:rFonts w:asciiTheme="minorHAnsi" w:eastAsia="Arial" w:hAnsiTheme="minorHAnsi" w:cs="Arial"/>
          <w:color w:val="000000"/>
        </w:rPr>
        <w:t xml:space="preserve">: </w:t>
      </w:r>
      <w:r w:rsidRPr="007F6357">
        <w:rPr>
          <w:rFonts w:asciiTheme="minorHAnsi" w:eastAsia="Arial" w:hAnsiTheme="minorHAnsi" w:cs="Arial"/>
          <w:b/>
          <w:color w:val="000000"/>
        </w:rPr>
        <w:t xml:space="preserve">1 crédito, 16 </w:t>
      </w:r>
      <w:proofErr w:type="spellStart"/>
      <w:r w:rsidRPr="007F6357">
        <w:rPr>
          <w:rFonts w:asciiTheme="minorHAnsi" w:eastAsia="Arial" w:hAnsiTheme="minorHAnsi" w:cs="Arial"/>
          <w:b/>
          <w:color w:val="000000"/>
        </w:rPr>
        <w:t>hs</w:t>
      </w:r>
      <w:proofErr w:type="spellEnd"/>
      <w:r w:rsidRPr="007F6357">
        <w:rPr>
          <w:rFonts w:asciiTheme="minorHAnsi" w:eastAsia="Arial" w:hAnsiTheme="minorHAnsi" w:cs="Arial"/>
          <w:b/>
          <w:color w:val="000000"/>
        </w:rPr>
        <w:t xml:space="preserve">., 4 clases de 4hs. 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numPr>
          <w:ilvl w:val="0"/>
          <w:numId w:val="1"/>
        </w:num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 xml:space="preserve">Seminarios Intensivos: </w:t>
      </w:r>
      <w:r w:rsidRPr="007F6357">
        <w:rPr>
          <w:rFonts w:asciiTheme="minorHAnsi" w:eastAsia="Arial" w:hAnsiTheme="minorHAnsi" w:cs="Arial"/>
          <w:color w:val="000000"/>
        </w:rPr>
        <w:t>Son exclusivamente presenciales. Se desarrollan durante las 2 últimas semanas del mes de junio en la sede de la Facultad de Ciencias Sociales de Marcelo T. de Alvear 2230, Ciudad de Buenos Aires (ver Tabla 1).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 xml:space="preserve">Seminarios generales intensivos: </w:t>
      </w:r>
      <w:r w:rsidRPr="007F6357">
        <w:rPr>
          <w:rFonts w:asciiTheme="minorHAnsi" w:eastAsia="Arial" w:hAnsiTheme="minorHAnsi" w:cs="Arial"/>
          <w:color w:val="000000"/>
        </w:rPr>
        <w:t xml:space="preserve">  </w:t>
      </w:r>
      <w:r w:rsidRPr="007F6357">
        <w:rPr>
          <w:rFonts w:asciiTheme="minorHAnsi" w:eastAsia="Arial" w:hAnsiTheme="minorHAnsi" w:cs="Arial"/>
          <w:b/>
          <w:color w:val="000000"/>
        </w:rPr>
        <w:t>2 créditos, 32 Hs, 8 clases de 4Hs. Por su carácter intensivo los 8 encuentros se celebran en el transcurso de dos semanas.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 xml:space="preserve">Seminarios específicos intensivos: </w:t>
      </w:r>
      <w:r w:rsidRPr="007F6357">
        <w:rPr>
          <w:rFonts w:asciiTheme="minorHAnsi" w:eastAsia="Arial" w:hAnsiTheme="minorHAnsi" w:cs="Arial"/>
          <w:color w:val="000000"/>
        </w:rPr>
        <w:t xml:space="preserve">  </w:t>
      </w:r>
      <w:r w:rsidRPr="007F6357">
        <w:rPr>
          <w:rFonts w:asciiTheme="minorHAnsi" w:eastAsia="Arial" w:hAnsiTheme="minorHAnsi" w:cs="Arial"/>
          <w:b/>
          <w:color w:val="000000"/>
        </w:rPr>
        <w:t xml:space="preserve">1 crédito, 16 Hs, 4 clases de 4Hs. Por su carácter intensivo los 4 encuentros se realizan en el transcurso de una semana. 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numPr>
          <w:ilvl w:val="0"/>
          <w:numId w:val="1"/>
        </w:num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bookmarkStart w:id="0" w:name="_GoBack"/>
      <w:bookmarkEnd w:id="0"/>
      <w:r w:rsidRPr="007F6357">
        <w:rPr>
          <w:rFonts w:asciiTheme="minorHAnsi" w:eastAsia="Arial" w:hAnsiTheme="minorHAnsi" w:cs="Arial"/>
          <w:b/>
          <w:color w:val="000000"/>
        </w:rPr>
        <w:t>Seminarios virtuales.</w:t>
      </w:r>
      <w:r w:rsidRPr="007F6357">
        <w:rPr>
          <w:rFonts w:asciiTheme="minorHAnsi" w:eastAsia="Arial" w:hAnsiTheme="minorHAnsi" w:cs="Arial"/>
          <w:color w:val="000000"/>
        </w:rPr>
        <w:t xml:space="preserve"> Estas asignaturas, mediadas por tecnologías, se celebran de manera sincrónica a través de los canales que provee la institución. Poseen la misma carga horaria y frecuencia que las modalidades anteriores. Hasta un 30 por ciento de la programación general se ofrecerá bajo este formato (ver Tabla 1).</w:t>
      </w:r>
    </w:p>
    <w:p w:rsidR="007F6357" w:rsidRPr="007F6357" w:rsidRDefault="007F6357" w:rsidP="007F6357">
      <w:pPr>
        <w:spacing w:line="240" w:lineRule="auto"/>
        <w:ind w:leftChars="0" w:left="0" w:firstLineChars="0" w:firstLine="0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center"/>
        <w:rPr>
          <w:rFonts w:asciiTheme="minorHAnsi" w:eastAsia="Arial" w:hAnsiTheme="minorHAnsi" w:cs="Arial"/>
          <w:b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Tabla 1. Modalidad, frecuencia y carga horaria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tbl>
      <w:tblPr>
        <w:tblW w:w="720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415"/>
        <w:gridCol w:w="1340"/>
        <w:gridCol w:w="1250"/>
        <w:gridCol w:w="797"/>
        <w:gridCol w:w="1199"/>
        <w:gridCol w:w="1199"/>
      </w:tblGrid>
      <w:tr w:rsidR="007F6357" w:rsidRPr="007F6357" w:rsidTr="007F6357">
        <w:trPr>
          <w:trHeight w:val="600"/>
        </w:trPr>
        <w:tc>
          <w:tcPr>
            <w:tcW w:w="4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Modalidad de seminarios y carga horaria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Cantidad de clases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Cantidad de semanas</w:t>
            </w:r>
          </w:p>
        </w:tc>
      </w:tr>
      <w:tr w:rsidR="007F6357" w:rsidRPr="007F6357" w:rsidTr="007F6357">
        <w:trPr>
          <w:trHeight w:val="300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Modalidad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Presencial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Bimestral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 xml:space="preserve">32 </w:t>
            </w:r>
            <w:proofErr w:type="spellStart"/>
            <w:r w:rsidRPr="007F6357">
              <w:rPr>
                <w:rFonts w:asciiTheme="minorHAnsi" w:eastAsia="Calibri" w:hAnsiTheme="minorHAnsi" w:cs="Calibri"/>
                <w:color w:val="000000"/>
              </w:rPr>
              <w:t>hs</w:t>
            </w:r>
            <w:proofErr w:type="spellEnd"/>
            <w:r w:rsidRPr="007F6357">
              <w:rPr>
                <w:rFonts w:asciiTheme="minorHAnsi" w:eastAsia="Calibri" w:hAnsiTheme="minorHAnsi" w:cs="Calibri"/>
                <w:color w:val="000000"/>
              </w:rPr>
              <w:t xml:space="preserve">.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8</w:t>
            </w:r>
          </w:p>
        </w:tc>
      </w:tr>
      <w:tr w:rsidR="007F6357" w:rsidRPr="007F6357" w:rsidTr="007F6357">
        <w:trPr>
          <w:trHeight w:val="300"/>
        </w:trPr>
        <w:tc>
          <w:tcPr>
            <w:tcW w:w="4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 xml:space="preserve">16 </w:t>
            </w:r>
            <w:proofErr w:type="spellStart"/>
            <w:r w:rsidRPr="007F6357">
              <w:rPr>
                <w:rFonts w:asciiTheme="minorHAnsi" w:eastAsia="Calibri" w:hAnsiTheme="minorHAnsi" w:cs="Calibri"/>
                <w:color w:val="000000"/>
              </w:rPr>
              <w:t>hs</w:t>
            </w:r>
            <w:proofErr w:type="spellEnd"/>
            <w:r w:rsidRPr="007F6357">
              <w:rPr>
                <w:rFonts w:asciiTheme="minorHAnsi" w:eastAsia="Calibri" w:hAnsiTheme="minorHAns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4</w:t>
            </w:r>
          </w:p>
        </w:tc>
      </w:tr>
      <w:tr w:rsidR="007F6357" w:rsidRPr="007F6357" w:rsidTr="007F6357">
        <w:trPr>
          <w:trHeight w:val="300"/>
        </w:trPr>
        <w:tc>
          <w:tcPr>
            <w:tcW w:w="4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Intensivo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 xml:space="preserve">32 </w:t>
            </w:r>
            <w:proofErr w:type="spellStart"/>
            <w:r w:rsidRPr="007F6357">
              <w:rPr>
                <w:rFonts w:asciiTheme="minorHAnsi" w:eastAsia="Calibri" w:hAnsiTheme="minorHAnsi" w:cs="Calibri"/>
                <w:color w:val="000000"/>
              </w:rPr>
              <w:t>hs</w:t>
            </w:r>
            <w:proofErr w:type="spellEnd"/>
            <w:r w:rsidRPr="007F6357">
              <w:rPr>
                <w:rFonts w:asciiTheme="minorHAnsi" w:eastAsia="Calibri" w:hAnsiTheme="minorHAnsi" w:cs="Calibri"/>
                <w:color w:val="000000"/>
              </w:rPr>
              <w:t xml:space="preserve">.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2</w:t>
            </w:r>
          </w:p>
        </w:tc>
      </w:tr>
      <w:tr w:rsidR="007F6357" w:rsidRPr="007F6357" w:rsidTr="007F6357">
        <w:trPr>
          <w:trHeight w:val="300"/>
        </w:trPr>
        <w:tc>
          <w:tcPr>
            <w:tcW w:w="4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 xml:space="preserve">16 </w:t>
            </w:r>
            <w:proofErr w:type="spellStart"/>
            <w:r w:rsidRPr="007F6357">
              <w:rPr>
                <w:rFonts w:asciiTheme="minorHAnsi" w:eastAsia="Calibri" w:hAnsiTheme="minorHAnsi" w:cs="Calibri"/>
                <w:color w:val="000000"/>
              </w:rPr>
              <w:t>hs</w:t>
            </w:r>
            <w:proofErr w:type="spellEnd"/>
            <w:r w:rsidRPr="007F6357">
              <w:rPr>
                <w:rFonts w:asciiTheme="minorHAnsi" w:eastAsia="Calibri" w:hAnsiTheme="minorHAns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1</w:t>
            </w:r>
          </w:p>
        </w:tc>
      </w:tr>
      <w:tr w:rsidR="007F6357" w:rsidRPr="007F6357" w:rsidTr="007F6357">
        <w:trPr>
          <w:trHeight w:val="300"/>
        </w:trPr>
        <w:tc>
          <w:tcPr>
            <w:tcW w:w="4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Virtual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Bimestral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 xml:space="preserve">32 </w:t>
            </w:r>
            <w:proofErr w:type="spellStart"/>
            <w:r w:rsidRPr="007F6357">
              <w:rPr>
                <w:rFonts w:asciiTheme="minorHAnsi" w:eastAsia="Calibri" w:hAnsiTheme="minorHAnsi" w:cs="Calibri"/>
                <w:color w:val="000000"/>
              </w:rPr>
              <w:t>hs</w:t>
            </w:r>
            <w:proofErr w:type="spellEnd"/>
            <w:r w:rsidRPr="007F6357">
              <w:rPr>
                <w:rFonts w:asciiTheme="minorHAnsi" w:eastAsia="Calibri" w:hAnsiTheme="minorHAnsi" w:cs="Calibri"/>
                <w:color w:val="000000"/>
              </w:rPr>
              <w:t xml:space="preserve">.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8</w:t>
            </w:r>
          </w:p>
        </w:tc>
      </w:tr>
      <w:tr w:rsidR="007F6357" w:rsidRPr="007F6357" w:rsidTr="007F6357">
        <w:trPr>
          <w:trHeight w:val="300"/>
        </w:trPr>
        <w:tc>
          <w:tcPr>
            <w:tcW w:w="4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357" w:rsidRPr="007F6357" w:rsidRDefault="007F6357">
            <w:pPr>
              <w:spacing w:line="240" w:lineRule="auto"/>
              <w:ind w:leftChars="0" w:left="0" w:firstLineChars="0" w:firstLine="0"/>
              <w:outlineLvl w:val="9"/>
              <w:rPr>
                <w:rFonts w:asciiTheme="minorHAnsi" w:eastAsia="Calibri" w:hAnsiTheme="minorHAns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 xml:space="preserve">16 </w:t>
            </w:r>
            <w:proofErr w:type="spellStart"/>
            <w:r w:rsidRPr="007F6357">
              <w:rPr>
                <w:rFonts w:asciiTheme="minorHAnsi" w:eastAsia="Calibri" w:hAnsiTheme="minorHAnsi" w:cs="Calibri"/>
                <w:color w:val="000000"/>
              </w:rPr>
              <w:t>hs</w:t>
            </w:r>
            <w:proofErr w:type="spellEnd"/>
            <w:r w:rsidRPr="007F6357">
              <w:rPr>
                <w:rFonts w:asciiTheme="minorHAnsi" w:eastAsia="Calibri" w:hAnsiTheme="minorHAnsi" w:cs="Calibri"/>
                <w:color w:val="000000"/>
              </w:rPr>
              <w:t>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357" w:rsidRPr="007F6357" w:rsidRDefault="007F6357">
            <w:pPr>
              <w:spacing w:line="240" w:lineRule="auto"/>
              <w:ind w:leftChars="0" w:left="2" w:hanging="2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7F6357">
              <w:rPr>
                <w:rFonts w:asciiTheme="minorHAnsi" w:eastAsia="Calibri" w:hAnsiTheme="minorHAnsi" w:cs="Calibri"/>
                <w:color w:val="000000"/>
              </w:rPr>
              <w:t>4</w:t>
            </w:r>
          </w:p>
        </w:tc>
      </w:tr>
    </w:tbl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color w:val="000000"/>
        </w:rPr>
        <w:t>En procura de garantizar amplitud y calidad en la oferta programática la Comisión de Doctorado podrá proponer la modalidad de dictado a los cursos aprobados. Cada postulación deberá seleccionar una modalidad de preferencia.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Período de cursada</w:t>
      </w:r>
      <w:r w:rsidRPr="007F6357">
        <w:rPr>
          <w:rFonts w:asciiTheme="minorHAnsi" w:eastAsia="Arial" w:hAnsiTheme="minorHAnsi" w:cs="Arial"/>
          <w:color w:val="000000"/>
        </w:rPr>
        <w:t xml:space="preserve"> 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color w:val="000000"/>
        </w:rPr>
        <w:t xml:space="preserve">La programación de las asignaturas se distribuye en cuatro bimestres 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Primer bimestre:</w:t>
      </w:r>
      <w:r w:rsidRPr="007F6357">
        <w:rPr>
          <w:rFonts w:asciiTheme="minorHAnsi" w:eastAsia="Arial" w:hAnsiTheme="minorHAnsi" w:cs="Arial"/>
          <w:color w:val="000000"/>
        </w:rPr>
        <w:t xml:space="preserve"> abril- mayo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Segundo bimestre:</w:t>
      </w:r>
      <w:r w:rsidRPr="007F6357">
        <w:rPr>
          <w:rFonts w:asciiTheme="minorHAnsi" w:eastAsia="Arial" w:hAnsiTheme="minorHAnsi" w:cs="Arial"/>
          <w:color w:val="000000"/>
        </w:rPr>
        <w:t xml:space="preserve"> junio dictado de cursos intensivos durante la 2 quincena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color w:val="000000"/>
        </w:rPr>
        <w:tab/>
      </w:r>
      <w:r w:rsidRPr="007F6357">
        <w:rPr>
          <w:rFonts w:asciiTheme="minorHAnsi" w:eastAsia="Arial" w:hAnsiTheme="minorHAnsi" w:cs="Arial"/>
          <w:color w:val="000000"/>
        </w:rPr>
        <w:tab/>
      </w:r>
      <w:r w:rsidRPr="007F6357">
        <w:rPr>
          <w:rFonts w:asciiTheme="minorHAnsi" w:eastAsia="Arial" w:hAnsiTheme="minorHAnsi" w:cs="Arial"/>
          <w:color w:val="000000"/>
        </w:rPr>
        <w:tab/>
      </w:r>
      <w:r w:rsidRPr="007F6357">
        <w:rPr>
          <w:rFonts w:asciiTheme="minorHAnsi" w:eastAsia="Arial" w:hAnsiTheme="minorHAnsi" w:cs="Arial"/>
          <w:color w:val="000000"/>
        </w:rPr>
        <w:tab/>
        <w:t>junio-julio dictado de talleres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Tercer bimestre:</w:t>
      </w:r>
      <w:r w:rsidRPr="007F6357">
        <w:rPr>
          <w:rFonts w:asciiTheme="minorHAnsi" w:eastAsia="Arial" w:hAnsiTheme="minorHAnsi" w:cs="Arial"/>
          <w:color w:val="000000"/>
        </w:rPr>
        <w:t xml:space="preserve"> agosto- septiembre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Cuarto bimestre:</w:t>
      </w:r>
      <w:r w:rsidRPr="007F6357">
        <w:rPr>
          <w:rFonts w:asciiTheme="minorHAnsi" w:eastAsia="Arial" w:hAnsiTheme="minorHAnsi" w:cs="Arial"/>
          <w:color w:val="000000"/>
        </w:rPr>
        <w:t xml:space="preserve"> octubre- noviembre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000000"/>
        </w:rPr>
      </w:pPr>
      <w:r w:rsidRPr="007F6357">
        <w:rPr>
          <w:rFonts w:asciiTheme="minorHAnsi" w:eastAsia="Arial" w:hAnsiTheme="minorHAnsi" w:cs="Arial"/>
          <w:b/>
          <w:color w:val="000000"/>
        </w:rPr>
        <w:t>Franjas horarias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color w:val="000000"/>
        </w:rPr>
        <w:t xml:space="preserve">Los seminarios se dictan de </w:t>
      </w:r>
      <w:proofErr w:type="gramStart"/>
      <w:r w:rsidRPr="007F6357">
        <w:rPr>
          <w:rFonts w:asciiTheme="minorHAnsi" w:eastAsia="Arial" w:hAnsiTheme="minorHAnsi" w:cs="Arial"/>
          <w:color w:val="000000"/>
        </w:rPr>
        <w:t>Lunes</w:t>
      </w:r>
      <w:proofErr w:type="gramEnd"/>
      <w:r w:rsidRPr="007F6357">
        <w:rPr>
          <w:rFonts w:asciiTheme="minorHAnsi" w:eastAsia="Arial" w:hAnsiTheme="minorHAnsi" w:cs="Arial"/>
          <w:color w:val="000000"/>
        </w:rPr>
        <w:t xml:space="preserve"> a Viernes en 3 franjas horarias: de 10 a 14, de 14 a 18 y de 18 a 22 </w:t>
      </w:r>
      <w:proofErr w:type="spellStart"/>
      <w:r w:rsidRPr="007F6357">
        <w:rPr>
          <w:rFonts w:asciiTheme="minorHAnsi" w:eastAsia="Arial" w:hAnsiTheme="minorHAnsi" w:cs="Arial"/>
          <w:color w:val="000000"/>
        </w:rPr>
        <w:t>hs</w:t>
      </w:r>
      <w:proofErr w:type="spellEnd"/>
      <w:r w:rsidRPr="007F6357">
        <w:rPr>
          <w:rFonts w:asciiTheme="minorHAnsi" w:eastAsia="Arial" w:hAnsiTheme="minorHAnsi" w:cs="Arial"/>
          <w:color w:val="000000"/>
        </w:rPr>
        <w:t>.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</w:rPr>
      </w:pPr>
      <w:r w:rsidRPr="007F6357">
        <w:rPr>
          <w:rFonts w:asciiTheme="minorHAnsi" w:eastAsia="Arial" w:hAnsiTheme="minorHAnsi" w:cs="Arial"/>
          <w:b/>
        </w:rPr>
        <w:t>Equipo docente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color w:val="000000"/>
        </w:rPr>
        <w:t>Las asignaturas podrán ser dictadas por una persona a cargo o en pareja pedagógica y se admiten hasta 2 docentes por curso. En todos los casos, deben contar con título de doctorado y experiencia destacada en investigación y docencia de posgrado. Las clases de cada asignatura deberán ser dictadas en su integridad por los equipos docentes que hayan postulado la propuesta.</w:t>
      </w:r>
    </w:p>
    <w:p w:rsidR="007F6357" w:rsidRPr="007F6357" w:rsidRDefault="007F6357" w:rsidP="007F6357">
      <w:pPr>
        <w:spacing w:line="240" w:lineRule="auto"/>
        <w:ind w:leftChars="0" w:left="2" w:hanging="2"/>
        <w:jc w:val="right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b/>
        </w:rPr>
      </w:pPr>
      <w:r w:rsidRPr="007F6357">
        <w:rPr>
          <w:rFonts w:asciiTheme="minorHAnsi" w:eastAsia="Arial" w:hAnsiTheme="minorHAnsi" w:cs="Arial"/>
          <w:b/>
        </w:rPr>
        <w:t>Honorarios:</w:t>
      </w: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  <w:r w:rsidRPr="007F6357">
        <w:rPr>
          <w:rFonts w:asciiTheme="minorHAnsi" w:eastAsia="Arial" w:hAnsiTheme="minorHAnsi" w:cs="Arial"/>
          <w:color w:val="000000"/>
        </w:rPr>
        <w:t xml:space="preserve">A los efectos de percibir los honorarios, cada docente deberá contar con la inscripción en el régimen simplificado de </w:t>
      </w:r>
      <w:proofErr w:type="spellStart"/>
      <w:r w:rsidRPr="007F6357">
        <w:rPr>
          <w:rFonts w:asciiTheme="minorHAnsi" w:eastAsia="Arial" w:hAnsiTheme="minorHAnsi" w:cs="Arial"/>
          <w:color w:val="000000"/>
        </w:rPr>
        <w:t>monotributo</w:t>
      </w:r>
      <w:proofErr w:type="spellEnd"/>
      <w:r w:rsidRPr="007F6357">
        <w:rPr>
          <w:rFonts w:asciiTheme="minorHAnsi" w:eastAsia="Arial" w:hAnsiTheme="minorHAnsi" w:cs="Arial"/>
          <w:color w:val="000000"/>
        </w:rPr>
        <w:t xml:space="preserve"> y hacer llegar a la oficina del doctorado la factura correspondiente, en caso de tratarse de un equipo docente deberán definir si recibirán el 50% de los honorarios c/u (ambos deben encontrarse inscriptos en el régimen de </w:t>
      </w:r>
      <w:proofErr w:type="spellStart"/>
      <w:r w:rsidRPr="007F6357">
        <w:rPr>
          <w:rFonts w:asciiTheme="minorHAnsi" w:eastAsia="Arial" w:hAnsiTheme="minorHAnsi" w:cs="Arial"/>
          <w:color w:val="000000"/>
        </w:rPr>
        <w:t>monotributo</w:t>
      </w:r>
      <w:proofErr w:type="spellEnd"/>
      <w:r w:rsidRPr="007F6357">
        <w:rPr>
          <w:rFonts w:asciiTheme="minorHAnsi" w:eastAsia="Arial" w:hAnsiTheme="minorHAnsi" w:cs="Arial"/>
          <w:color w:val="000000"/>
        </w:rPr>
        <w:t xml:space="preserve"> al momento del dictado del seminario) o si sólo cobra uno de los dos.</w:t>
      </w:r>
    </w:p>
    <w:p w:rsidR="007F6357" w:rsidRPr="007F6357" w:rsidRDefault="007F6357" w:rsidP="007F6357">
      <w:pPr>
        <w:ind w:leftChars="0" w:left="2" w:hanging="2"/>
        <w:jc w:val="both"/>
        <w:rPr>
          <w:rFonts w:asciiTheme="minorHAnsi" w:eastAsia="Arial" w:hAnsiTheme="minorHAnsi" w:cs="Arial"/>
          <w:color w:val="000000"/>
          <w:highlight w:val="white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both"/>
        <w:rPr>
          <w:rFonts w:asciiTheme="minorHAnsi" w:eastAsia="Arial" w:hAnsiTheme="minorHAnsi" w:cs="Arial"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center"/>
        <w:rPr>
          <w:rFonts w:asciiTheme="minorHAnsi" w:eastAsia="Arial" w:hAnsiTheme="minorHAnsi" w:cs="Arial"/>
          <w:b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center"/>
        <w:rPr>
          <w:rFonts w:asciiTheme="minorHAnsi" w:eastAsia="Arial" w:hAnsiTheme="minorHAnsi" w:cs="Arial"/>
          <w:b/>
          <w:color w:val="000000"/>
        </w:rPr>
      </w:pPr>
    </w:p>
    <w:p w:rsidR="007F6357" w:rsidRPr="007F6357" w:rsidRDefault="007F6357" w:rsidP="007F6357">
      <w:pPr>
        <w:spacing w:line="240" w:lineRule="auto"/>
        <w:ind w:leftChars="0" w:left="2" w:hanging="2"/>
        <w:jc w:val="center"/>
        <w:rPr>
          <w:rFonts w:asciiTheme="minorHAnsi" w:eastAsia="Arial" w:hAnsiTheme="minorHAnsi" w:cs="Arial"/>
          <w:b/>
          <w:color w:val="000000"/>
        </w:rPr>
      </w:pPr>
    </w:p>
    <w:sectPr w:rsidR="007F6357" w:rsidRPr="007F6357" w:rsidSect="007F6F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56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57" w:rsidRDefault="007F6357" w:rsidP="007F6357">
      <w:pPr>
        <w:spacing w:line="240" w:lineRule="auto"/>
        <w:ind w:left="0" w:hanging="2"/>
      </w:pPr>
      <w:r>
        <w:separator/>
      </w:r>
    </w:p>
  </w:endnote>
  <w:endnote w:type="continuationSeparator" w:id="0">
    <w:p w:rsidR="007F6357" w:rsidRDefault="007F6357" w:rsidP="007F63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7" w:rsidRDefault="007F6357" w:rsidP="007F635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7" w:rsidRDefault="007F6357" w:rsidP="007F635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7" w:rsidRDefault="007F6357" w:rsidP="007F635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57" w:rsidRDefault="007F6357" w:rsidP="007F6357">
      <w:pPr>
        <w:spacing w:line="240" w:lineRule="auto"/>
        <w:ind w:left="0" w:hanging="2"/>
      </w:pPr>
      <w:r>
        <w:separator/>
      </w:r>
    </w:p>
  </w:footnote>
  <w:footnote w:type="continuationSeparator" w:id="0">
    <w:p w:rsidR="007F6357" w:rsidRDefault="007F6357" w:rsidP="007F63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7" w:rsidRDefault="007F6357" w:rsidP="007F635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7" w:rsidRDefault="007F6357" w:rsidP="007F6357">
    <w:pPr>
      <w:pStyle w:val="Encabezado"/>
      <w:ind w:left="0" w:hanging="2"/>
    </w:pPr>
    <w:r>
      <w:rPr>
        <w:noProof/>
        <w:lang w:eastAsia="es-AR" w:bidi="ar-SA"/>
      </w:rPr>
      <w:drawing>
        <wp:inline distT="0" distB="0" distL="0" distR="0" wp14:anchorId="6851C405" wp14:editId="23D9ED47">
          <wp:extent cx="5612130" cy="860425"/>
          <wp:effectExtent l="0" t="0" r="762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7" w:rsidRDefault="007F6357" w:rsidP="007F635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511D"/>
    <w:multiLevelType w:val="multilevel"/>
    <w:tmpl w:val="F2B464F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2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57"/>
    <w:rsid w:val="003F1F7F"/>
    <w:rsid w:val="007F6357"/>
    <w:rsid w:val="007F6FB4"/>
    <w:rsid w:val="00B4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57"/>
    <w:pPr>
      <w:spacing w:after="0" w:line="1" w:lineRule="atLeast"/>
      <w:ind w:leftChars="-1" w:left="-1" w:hangingChars="1" w:hanging="1"/>
      <w:outlineLvl w:val="0"/>
    </w:pPr>
    <w:rPr>
      <w:rFonts w:ascii="Liberation Serif" w:eastAsia="SimSun" w:hAnsi="Liberation Serif" w:cs="Mangal"/>
      <w:kern w:val="2"/>
      <w:position w:val="-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F635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6357"/>
    <w:pPr>
      <w:tabs>
        <w:tab w:val="center" w:pos="4419"/>
        <w:tab w:val="right" w:pos="8838"/>
      </w:tabs>
      <w:spacing w:line="240" w:lineRule="auto"/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F6357"/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F6357"/>
    <w:pPr>
      <w:tabs>
        <w:tab w:val="center" w:pos="4419"/>
        <w:tab w:val="right" w:pos="8838"/>
      </w:tabs>
      <w:spacing w:line="240" w:lineRule="auto"/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6357"/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357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357"/>
    <w:rPr>
      <w:rFonts w:ascii="Tahoma" w:eastAsia="SimSun" w:hAnsi="Tahoma" w:cs="Mangal"/>
      <w:kern w:val="2"/>
      <w:position w:val="-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57"/>
    <w:pPr>
      <w:spacing w:after="0" w:line="1" w:lineRule="atLeast"/>
      <w:ind w:leftChars="-1" w:left="-1" w:hangingChars="1" w:hanging="1"/>
      <w:outlineLvl w:val="0"/>
    </w:pPr>
    <w:rPr>
      <w:rFonts w:ascii="Liberation Serif" w:eastAsia="SimSun" w:hAnsi="Liberation Serif" w:cs="Mangal"/>
      <w:kern w:val="2"/>
      <w:position w:val="-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F635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6357"/>
    <w:pPr>
      <w:tabs>
        <w:tab w:val="center" w:pos="4419"/>
        <w:tab w:val="right" w:pos="8838"/>
      </w:tabs>
      <w:spacing w:line="240" w:lineRule="auto"/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F6357"/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F6357"/>
    <w:pPr>
      <w:tabs>
        <w:tab w:val="center" w:pos="4419"/>
        <w:tab w:val="right" w:pos="8838"/>
      </w:tabs>
      <w:spacing w:line="240" w:lineRule="auto"/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6357"/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357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357"/>
    <w:rPr>
      <w:rFonts w:ascii="Tahoma" w:eastAsia="SimSun" w:hAnsi="Tahoma" w:cs="Mangal"/>
      <w:kern w:val="2"/>
      <w:position w:val="-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es.uba.ar/doctorad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LORENA EMANUELI</dc:creator>
  <cp:lastModifiedBy>SILVINA LORENA EMANUELI</cp:lastModifiedBy>
  <cp:revision>1</cp:revision>
  <dcterms:created xsi:type="dcterms:W3CDTF">2024-08-29T14:38:00Z</dcterms:created>
  <dcterms:modified xsi:type="dcterms:W3CDTF">2024-08-29T14:44:00Z</dcterms:modified>
</cp:coreProperties>
</file>